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A1862" w14:textId="77777777" w:rsidR="00AB5AE9" w:rsidRDefault="00AB5AE9" w:rsidP="00AB5AE9">
      <w:pPr>
        <w:tabs>
          <w:tab w:val="center" w:pos="4703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F14C40" wp14:editId="5D071D6C">
                <wp:simplePos x="0" y="0"/>
                <wp:positionH relativeFrom="column">
                  <wp:posOffset>1873512</wp:posOffset>
                </wp:positionH>
                <wp:positionV relativeFrom="paragraph">
                  <wp:posOffset>-76878</wp:posOffset>
                </wp:positionV>
                <wp:extent cx="2097741" cy="368834"/>
                <wp:effectExtent l="0" t="0" r="17145" b="1270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7741" cy="3688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D7C846" w14:textId="77777777" w:rsidR="00AB5AE9" w:rsidRPr="002F06C0" w:rsidRDefault="00AB5AE9" w:rsidP="00AB5AE9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tillium" w:hAnsi="Titillium"/>
                                <w:b/>
                                <w:bCs/>
                                <w:sz w:val="24"/>
                                <w:szCs w:val="24"/>
                              </w:rPr>
                              <w:t>Proposition</w:t>
                            </w:r>
                            <w:r w:rsidRPr="002F06C0">
                              <w:rPr>
                                <w:rFonts w:ascii="Titillium" w:hAnsi="Titilliu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de délibération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F14C40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47.5pt;margin-top:-6.05pt;width:165.2pt;height:29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" fillcolor="white [3201]" strokeweight=".5pt">
                <v:textbox>
                  <w:txbxContent>
                    <w:p w14:paraId="14D7C846" w14:textId="77777777" w:rsidR="00AB5AE9" w:rsidRPr="002F06C0" w:rsidRDefault="00AB5AE9" w:rsidP="00AB5AE9">
                      <w:pPr>
                        <w:jc w:val="center"/>
                        <w:rPr>
                          <w:rFonts w:ascii="Titillium" w:hAnsi="Titillium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tillium" w:hAnsi="Titillium"/>
                          <w:b/>
                          <w:bCs/>
                          <w:sz w:val="24"/>
                          <w:szCs w:val="24"/>
                        </w:rPr>
                        <w:t>Proposition</w:t>
                      </w:r>
                      <w:r w:rsidRPr="002F06C0">
                        <w:rPr>
                          <w:rFonts w:ascii="Titillium" w:hAnsi="Titillium"/>
                          <w:b/>
                          <w:bCs/>
                          <w:sz w:val="24"/>
                          <w:szCs w:val="24"/>
                        </w:rPr>
                        <w:t xml:space="preserve"> de délibération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500A0E8" wp14:editId="3429DAF8">
            <wp:simplePos x="0" y="0"/>
            <wp:positionH relativeFrom="page">
              <wp:posOffset>253045</wp:posOffset>
            </wp:positionH>
            <wp:positionV relativeFrom="paragraph">
              <wp:posOffset>-552856</wp:posOffset>
            </wp:positionV>
            <wp:extent cx="1798064" cy="799139"/>
            <wp:effectExtent l="0" t="0" r="0" b="1270"/>
            <wp:wrapNone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-tête TE 47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95" t="19617" r="5255" b="40362"/>
                    <a:stretch/>
                  </pic:blipFill>
                  <pic:spPr bwMode="auto">
                    <a:xfrm>
                      <a:off x="0" y="0"/>
                      <a:ext cx="1798064" cy="7991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²</w:t>
      </w:r>
    </w:p>
    <w:p w14:paraId="4976439D" w14:textId="77777777" w:rsidR="00AB5AE9" w:rsidRPr="0061451C" w:rsidRDefault="00AB5AE9" w:rsidP="00AB5AE9">
      <w:pPr>
        <w:spacing w:before="120" w:after="120"/>
        <w:rPr>
          <w:rFonts w:ascii="Arial" w:hAnsi="Arial" w:cs="Arial"/>
          <w:b/>
          <w:bCs/>
          <w:spacing w:val="40"/>
        </w:rPr>
      </w:pPr>
    </w:p>
    <w:p w14:paraId="590CB9F9" w14:textId="591C4F19" w:rsidR="00AB5AE9" w:rsidRDefault="00AB5AE9" w:rsidP="00AB5AE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Avenant n°1 </w:t>
      </w:r>
      <w:r w:rsidRPr="002F06C0">
        <w:rPr>
          <w:rFonts w:ascii="Arial" w:hAnsi="Arial" w:cs="Arial"/>
          <w:b/>
          <w:bCs/>
        </w:rPr>
        <w:t xml:space="preserve">à </w:t>
      </w:r>
      <w:r>
        <w:rPr>
          <w:rFonts w:ascii="Arial" w:hAnsi="Arial" w:cs="Arial"/>
          <w:b/>
          <w:bCs/>
        </w:rPr>
        <w:t>la c</w:t>
      </w:r>
      <w:r w:rsidRPr="006B7DB9">
        <w:rPr>
          <w:rFonts w:ascii="Arial" w:hAnsi="Arial" w:cs="Arial"/>
          <w:b/>
          <w:bCs/>
        </w:rPr>
        <w:t>onvention d’accompagnement</w:t>
      </w:r>
      <w:r>
        <w:rPr>
          <w:rFonts w:ascii="Arial" w:hAnsi="Arial" w:cs="Arial"/>
          <w:b/>
          <w:bCs/>
        </w:rPr>
        <w:t xml:space="preserve"> </w:t>
      </w:r>
      <w:r w:rsidRPr="006B7DB9">
        <w:rPr>
          <w:rFonts w:ascii="Arial" w:hAnsi="Arial" w:cs="Arial"/>
          <w:b/>
          <w:bCs/>
        </w:rPr>
        <w:t>à la transition énergétique</w:t>
      </w:r>
      <w:r>
        <w:rPr>
          <w:rFonts w:ascii="Arial" w:hAnsi="Arial" w:cs="Arial"/>
          <w:b/>
          <w:bCs/>
        </w:rPr>
        <w:t xml:space="preserve"> avec</w:t>
      </w:r>
      <w:r w:rsidRPr="006B7DB9">
        <w:rPr>
          <w:rFonts w:ascii="Arial" w:hAnsi="Arial" w:cs="Arial"/>
          <w:b/>
          <w:bCs/>
        </w:rPr>
        <w:t xml:space="preserve"> Territoire d’Energie Lot-et-Garonne</w:t>
      </w:r>
      <w:r w:rsidRPr="006B7DB9" w:rsidDel="006B7DB9">
        <w:rPr>
          <w:rFonts w:ascii="Arial" w:hAnsi="Arial" w:cs="Arial"/>
          <w:b/>
          <w:bCs/>
        </w:rPr>
        <w:t xml:space="preserve"> </w:t>
      </w:r>
      <w:r w:rsidRPr="002F06C0"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</w:rPr>
        <w:t>TE 47</w:t>
      </w:r>
      <w:r w:rsidRPr="002F06C0">
        <w:rPr>
          <w:rFonts w:ascii="Arial" w:hAnsi="Arial" w:cs="Arial"/>
          <w:b/>
          <w:bCs/>
        </w:rPr>
        <w:t>)</w:t>
      </w:r>
    </w:p>
    <w:p w14:paraId="58475A6D" w14:textId="77777777" w:rsidR="00AB5AE9" w:rsidRPr="002F06C0" w:rsidRDefault="00AB5AE9" w:rsidP="00AB5AE9">
      <w:pPr>
        <w:rPr>
          <w:rFonts w:ascii="Arial" w:hAnsi="Arial" w:cs="Arial"/>
        </w:rPr>
      </w:pPr>
    </w:p>
    <w:p w14:paraId="6D0C98A6" w14:textId="77777777" w:rsidR="00AB5AE9" w:rsidRDefault="00AB5AE9" w:rsidP="00AB5AE9">
      <w:pPr>
        <w:ind w:firstLine="708"/>
        <w:rPr>
          <w:rFonts w:ascii="Titillium" w:eastAsia="Times New Roman" w:hAnsi="Titillium" w:cs="Times New Roman"/>
          <w:sz w:val="20"/>
          <w:szCs w:val="20"/>
          <w:lang w:eastAsia="fr-FR"/>
        </w:rPr>
      </w:pPr>
      <w:r>
        <w:rPr>
          <w:rFonts w:ascii="Titillium" w:eastAsia="Times New Roman" w:hAnsi="Titillium" w:cs="Times New Roman"/>
          <w:sz w:val="20"/>
          <w:szCs w:val="20"/>
          <w:lang w:eastAsia="fr-FR"/>
        </w:rPr>
        <w:t>Depuis fin 2021, TE 47 accompagne ses communes membres à la transition énergétique en leur proposant des prestations pouvant porter sur</w:t>
      </w:r>
      <w:r>
        <w:rPr>
          <w:rFonts w:ascii="Calibri" w:eastAsia="Times New Roman" w:hAnsi="Calibri" w:cs="Calibri"/>
          <w:sz w:val="20"/>
          <w:szCs w:val="20"/>
          <w:lang w:eastAsia="fr-FR"/>
        </w:rPr>
        <w:t> </w:t>
      </w:r>
      <w:r>
        <w:rPr>
          <w:rFonts w:ascii="Titillium" w:eastAsia="Times New Roman" w:hAnsi="Titillium" w:cs="Times New Roman"/>
          <w:sz w:val="20"/>
          <w:szCs w:val="20"/>
          <w:lang w:eastAsia="fr-FR"/>
        </w:rPr>
        <w:t xml:space="preserve">: </w:t>
      </w:r>
    </w:p>
    <w:p w14:paraId="17491AE8" w14:textId="77777777" w:rsidR="00AB5AE9" w:rsidRDefault="00AB5AE9" w:rsidP="00AB5AE9">
      <w:pPr>
        <w:pStyle w:val="Paragraphedeliste"/>
        <w:numPr>
          <w:ilvl w:val="0"/>
          <w:numId w:val="1"/>
        </w:numPr>
        <w:tabs>
          <w:tab w:val="left" w:pos="720"/>
          <w:tab w:val="right" w:pos="9067"/>
        </w:tabs>
        <w:ind w:right="-1"/>
        <w:rPr>
          <w:rFonts w:ascii="Titillium" w:eastAsia="Arial" w:hAnsi="Titillium"/>
          <w:sz w:val="20"/>
          <w:szCs w:val="20"/>
        </w:rPr>
      </w:pPr>
      <w:r>
        <w:rPr>
          <w:rFonts w:ascii="Titillium" w:eastAsia="Arial" w:hAnsi="Titillium"/>
          <w:sz w:val="20"/>
          <w:szCs w:val="20"/>
        </w:rPr>
        <w:t>Le conseil et l’accompagnement par un «</w:t>
      </w:r>
      <w:r>
        <w:rPr>
          <w:rFonts w:ascii="Calibri" w:eastAsia="Arial" w:hAnsi="Calibri" w:cs="Calibri"/>
          <w:sz w:val="20"/>
          <w:szCs w:val="20"/>
        </w:rPr>
        <w:t> </w:t>
      </w:r>
      <w:r>
        <w:rPr>
          <w:rFonts w:ascii="Titillium" w:hAnsi="Titillium" w:cs="Arial"/>
          <w:bCs/>
          <w:sz w:val="20"/>
          <w:szCs w:val="20"/>
        </w:rPr>
        <w:t>É</w:t>
      </w:r>
      <w:r>
        <w:rPr>
          <w:rFonts w:ascii="Titillium" w:eastAsia="Arial" w:hAnsi="Titillium"/>
          <w:sz w:val="20"/>
          <w:szCs w:val="20"/>
        </w:rPr>
        <w:t>conome de flux</w:t>
      </w:r>
      <w:r>
        <w:rPr>
          <w:rFonts w:ascii="Calibri" w:eastAsia="Arial" w:hAnsi="Calibri" w:cs="Calibri"/>
          <w:sz w:val="20"/>
          <w:szCs w:val="20"/>
        </w:rPr>
        <w:t> </w:t>
      </w:r>
      <w:r>
        <w:rPr>
          <w:rFonts w:ascii="Titillium" w:eastAsia="Arial" w:hAnsi="Titillium" w:cs="Titillium"/>
          <w:sz w:val="20"/>
          <w:szCs w:val="20"/>
        </w:rPr>
        <w:t>»</w:t>
      </w:r>
      <w:r>
        <w:rPr>
          <w:rFonts w:ascii="Titillium" w:eastAsia="Arial" w:hAnsi="Titillium"/>
          <w:sz w:val="20"/>
          <w:szCs w:val="20"/>
        </w:rPr>
        <w:t>,</w:t>
      </w:r>
    </w:p>
    <w:p w14:paraId="6A9A00D5" w14:textId="77777777" w:rsidR="00AB5AE9" w:rsidRDefault="00AB5AE9" w:rsidP="00AB5AE9">
      <w:pPr>
        <w:pStyle w:val="Paragraphedeliste"/>
        <w:numPr>
          <w:ilvl w:val="0"/>
          <w:numId w:val="1"/>
        </w:numPr>
        <w:tabs>
          <w:tab w:val="left" w:pos="720"/>
          <w:tab w:val="right" w:pos="9067"/>
        </w:tabs>
        <w:ind w:right="-1"/>
        <w:rPr>
          <w:rFonts w:ascii="Titillium" w:eastAsia="Arial" w:hAnsi="Titillium"/>
          <w:sz w:val="20"/>
          <w:szCs w:val="20"/>
        </w:rPr>
      </w:pPr>
      <w:r>
        <w:rPr>
          <w:rFonts w:ascii="Titillium" w:eastAsia="Arial" w:hAnsi="Titillium"/>
          <w:sz w:val="20"/>
          <w:szCs w:val="20"/>
        </w:rPr>
        <w:t>Les audits énergétiques du patrimoine bâti,</w:t>
      </w:r>
    </w:p>
    <w:p w14:paraId="311EE151" w14:textId="77777777" w:rsidR="00AB5AE9" w:rsidRDefault="00AB5AE9" w:rsidP="00AB5AE9">
      <w:pPr>
        <w:pStyle w:val="Paragraphedeliste"/>
        <w:numPr>
          <w:ilvl w:val="0"/>
          <w:numId w:val="1"/>
        </w:numPr>
        <w:tabs>
          <w:tab w:val="left" w:pos="720"/>
          <w:tab w:val="right" w:pos="9067"/>
        </w:tabs>
        <w:ind w:right="-1"/>
        <w:rPr>
          <w:rFonts w:ascii="Titillium" w:eastAsia="Arial" w:hAnsi="Titillium"/>
          <w:sz w:val="20"/>
          <w:szCs w:val="20"/>
        </w:rPr>
      </w:pPr>
      <w:r>
        <w:rPr>
          <w:rFonts w:ascii="Titillium" w:eastAsia="Arial" w:hAnsi="Titillium"/>
          <w:sz w:val="20"/>
          <w:szCs w:val="20"/>
        </w:rPr>
        <w:t>L’accompagnement spécifique au décret tertiaire,</w:t>
      </w:r>
    </w:p>
    <w:p w14:paraId="08B6B686" w14:textId="77777777" w:rsidR="00AB5AE9" w:rsidRDefault="00AB5AE9" w:rsidP="00AB5AE9">
      <w:pPr>
        <w:pStyle w:val="Paragraphedeliste"/>
        <w:numPr>
          <w:ilvl w:val="0"/>
          <w:numId w:val="1"/>
        </w:numPr>
        <w:tabs>
          <w:tab w:val="left" w:pos="720"/>
          <w:tab w:val="right" w:pos="9067"/>
        </w:tabs>
        <w:ind w:right="-1"/>
        <w:rPr>
          <w:rFonts w:ascii="Titillium" w:eastAsia="Arial" w:hAnsi="Titillium"/>
          <w:sz w:val="20"/>
          <w:szCs w:val="20"/>
        </w:rPr>
      </w:pPr>
      <w:r>
        <w:rPr>
          <w:rFonts w:ascii="Titillium" w:eastAsia="Arial" w:hAnsi="Titillium"/>
          <w:sz w:val="20"/>
          <w:szCs w:val="20"/>
        </w:rPr>
        <w:t>L’accompagnement au développement des ENR thermiques ou électriques,</w:t>
      </w:r>
    </w:p>
    <w:p w14:paraId="6484DAD7" w14:textId="77777777" w:rsidR="00AB5AE9" w:rsidRDefault="00AB5AE9" w:rsidP="00AB5AE9">
      <w:pPr>
        <w:pStyle w:val="Paragraphedeliste"/>
        <w:numPr>
          <w:ilvl w:val="0"/>
          <w:numId w:val="1"/>
        </w:numPr>
        <w:tabs>
          <w:tab w:val="left" w:pos="720"/>
          <w:tab w:val="right" w:pos="9067"/>
        </w:tabs>
        <w:ind w:right="-1"/>
        <w:rPr>
          <w:rFonts w:ascii="Titillium" w:eastAsia="Arial" w:hAnsi="Titillium"/>
          <w:sz w:val="20"/>
          <w:szCs w:val="20"/>
        </w:rPr>
      </w:pPr>
      <w:r>
        <w:rPr>
          <w:rFonts w:ascii="Titillium" w:eastAsia="Arial" w:hAnsi="Titillium"/>
          <w:sz w:val="20"/>
          <w:szCs w:val="20"/>
        </w:rPr>
        <w:t>L’accompagnement au suivi de la qualité de l’air intérieur,</w:t>
      </w:r>
    </w:p>
    <w:p w14:paraId="57CC51BB" w14:textId="77777777" w:rsidR="00AB5AE9" w:rsidRDefault="00AB5AE9" w:rsidP="00AB5AE9">
      <w:pPr>
        <w:pStyle w:val="Paragraphedeliste"/>
        <w:numPr>
          <w:ilvl w:val="0"/>
          <w:numId w:val="1"/>
        </w:numPr>
        <w:tabs>
          <w:tab w:val="left" w:pos="720"/>
          <w:tab w:val="right" w:pos="9067"/>
        </w:tabs>
        <w:ind w:right="-1"/>
        <w:rPr>
          <w:rFonts w:ascii="Titillium" w:eastAsia="Arial" w:hAnsi="Titillium"/>
          <w:sz w:val="20"/>
          <w:szCs w:val="20"/>
        </w:rPr>
      </w:pPr>
      <w:r>
        <w:rPr>
          <w:rFonts w:ascii="Titillium" w:eastAsia="Arial" w:hAnsi="Titillium"/>
          <w:sz w:val="20"/>
          <w:szCs w:val="20"/>
        </w:rPr>
        <w:t>Des prestations de traitement d’imagerie thermique par caméra et par drone.</w:t>
      </w:r>
    </w:p>
    <w:p w14:paraId="546854CA" w14:textId="77777777" w:rsidR="00AB5AE9" w:rsidRDefault="00AB5AE9" w:rsidP="00AB5AE9">
      <w:pPr>
        <w:rPr>
          <w:rFonts w:ascii="Titillium" w:hAnsi="Titillium" w:cs="Arial"/>
          <w:bCs/>
          <w:sz w:val="20"/>
          <w:szCs w:val="20"/>
        </w:rPr>
      </w:pPr>
    </w:p>
    <w:p w14:paraId="4189ABC4" w14:textId="77777777" w:rsidR="00AB5AE9" w:rsidRDefault="00AB5AE9" w:rsidP="00AB5AE9">
      <w:pPr>
        <w:ind w:firstLine="708"/>
        <w:rPr>
          <w:rFonts w:ascii="Titillium" w:eastAsia="Times New Roman" w:hAnsi="Titillium" w:cs="Times New Roman"/>
          <w:sz w:val="20"/>
          <w:szCs w:val="20"/>
          <w:lang w:eastAsia="fr-FR"/>
        </w:rPr>
      </w:pPr>
      <w:r>
        <w:rPr>
          <w:rFonts w:ascii="Titillium" w:eastAsia="Times New Roman" w:hAnsi="Titillium" w:cs="Times New Roman"/>
          <w:sz w:val="20"/>
          <w:szCs w:val="20"/>
          <w:lang w:eastAsia="fr-FR"/>
        </w:rPr>
        <w:t>TE 47 et la Commune ont ainsi signé une convention d’accompagnement à la Transition Energétique comprenant des annexes décrivant en détail les prestations ainsi que les modalités financières applicables.</w:t>
      </w:r>
    </w:p>
    <w:p w14:paraId="598F44A2" w14:textId="77777777" w:rsidR="00AB5AE9" w:rsidRDefault="00AB5AE9" w:rsidP="00AB5AE9">
      <w:pPr>
        <w:ind w:firstLine="708"/>
        <w:rPr>
          <w:rFonts w:ascii="Titillium" w:eastAsia="Times New Roman" w:hAnsi="Titillium" w:cs="Times New Roman"/>
          <w:sz w:val="20"/>
          <w:szCs w:val="20"/>
          <w:lang w:eastAsia="fr-FR"/>
        </w:rPr>
      </w:pPr>
    </w:p>
    <w:p w14:paraId="6848F129" w14:textId="77777777" w:rsidR="00AB5AE9" w:rsidRDefault="00AB5AE9" w:rsidP="00AB5AE9">
      <w:pPr>
        <w:ind w:firstLine="708"/>
        <w:rPr>
          <w:rFonts w:ascii="Titillium" w:eastAsia="Times New Roman" w:hAnsi="Titillium" w:cs="Times New Roman"/>
          <w:sz w:val="20"/>
          <w:szCs w:val="20"/>
          <w:lang w:eastAsia="fr-FR"/>
        </w:rPr>
      </w:pPr>
      <w:r>
        <w:rPr>
          <w:rFonts w:ascii="Titillium" w:eastAsia="Times New Roman" w:hAnsi="Titillium" w:cs="Times New Roman"/>
          <w:sz w:val="20"/>
          <w:szCs w:val="20"/>
          <w:lang w:eastAsia="fr-FR"/>
        </w:rPr>
        <w:t>Le Service de Gestion Comptable d’Agen a signifié à TE 47 que l’ensemble des prestations facturées dans le cadre de ces conventions devaient être soumises à la TVA, quel que soit son exécutant (prestation interne de TE 47, comme prestation réalisée par un prestataire externe), ce qui nécessite d’ajuster par avenant chaque convention.</w:t>
      </w:r>
    </w:p>
    <w:p w14:paraId="519E674C" w14:textId="098CBC13" w:rsidR="00AB5AE9" w:rsidRDefault="00AB5AE9" w:rsidP="00AB5AE9">
      <w:pPr>
        <w:ind w:firstLine="708"/>
        <w:rPr>
          <w:rFonts w:ascii="Titillium" w:eastAsia="Times New Roman" w:hAnsi="Titillium" w:cs="Times New Roman"/>
          <w:sz w:val="20"/>
          <w:szCs w:val="20"/>
          <w:lang w:eastAsia="fr-FR"/>
        </w:rPr>
      </w:pPr>
      <w:r>
        <w:rPr>
          <w:rFonts w:ascii="Titillium" w:eastAsia="Times New Roman" w:hAnsi="Titillium" w:cs="Times New Roman"/>
          <w:sz w:val="20"/>
          <w:szCs w:val="20"/>
          <w:lang w:eastAsia="fr-FR"/>
        </w:rPr>
        <w:t>Cela représente une plus-value pour la Commune de 20 % sur le coût des prestations</w:t>
      </w:r>
      <w:r w:rsidR="004810F9">
        <w:rPr>
          <w:rFonts w:ascii="Titillium" w:eastAsia="Times New Roman" w:hAnsi="Titillium" w:cs="Times New Roman"/>
          <w:sz w:val="20"/>
          <w:szCs w:val="20"/>
          <w:lang w:eastAsia="fr-FR"/>
        </w:rPr>
        <w:t xml:space="preserve"> réalisées par TE 47 en interne.</w:t>
      </w:r>
      <w:r w:rsidR="00987BE2">
        <w:rPr>
          <w:rFonts w:ascii="Titillium" w:eastAsia="Times New Roman" w:hAnsi="Titillium" w:cs="Times New Roman"/>
          <w:sz w:val="20"/>
          <w:szCs w:val="20"/>
          <w:lang w:eastAsia="fr-FR"/>
        </w:rPr>
        <w:t xml:space="preserve"> </w:t>
      </w:r>
      <w:r>
        <w:rPr>
          <w:rFonts w:ascii="Titillium" w:eastAsia="Times New Roman" w:hAnsi="Titillium" w:cs="Times New Roman"/>
          <w:sz w:val="20"/>
          <w:szCs w:val="20"/>
          <w:lang w:eastAsia="fr-FR"/>
        </w:rPr>
        <w:t>Si la Commune refuse cette modification, la convention devra être résiliée.</w:t>
      </w:r>
    </w:p>
    <w:p w14:paraId="44EDB81C" w14:textId="77777777" w:rsidR="00AB5AE9" w:rsidRDefault="00AB5AE9" w:rsidP="00AB5AE9">
      <w:pPr>
        <w:ind w:firstLine="708"/>
        <w:rPr>
          <w:rFonts w:ascii="Titillium" w:eastAsia="Times New Roman" w:hAnsi="Titillium" w:cs="Times New Roman"/>
          <w:sz w:val="20"/>
          <w:szCs w:val="20"/>
          <w:lang w:eastAsia="fr-FR"/>
        </w:rPr>
      </w:pPr>
    </w:p>
    <w:p w14:paraId="6EBCDA6B" w14:textId="77777777" w:rsidR="00AB5AE9" w:rsidRDefault="00AB5AE9" w:rsidP="00AB5AE9">
      <w:pPr>
        <w:ind w:firstLine="708"/>
        <w:rPr>
          <w:rFonts w:ascii="Titillium" w:eastAsia="Times New Roman" w:hAnsi="Titillium" w:cs="Times New Roman"/>
          <w:sz w:val="20"/>
          <w:szCs w:val="20"/>
          <w:lang w:eastAsia="fr-FR"/>
        </w:rPr>
      </w:pPr>
      <w:r w:rsidRPr="00A33CC1">
        <w:rPr>
          <w:rFonts w:ascii="Titillium" w:eastAsia="Times New Roman" w:hAnsi="Titillium" w:cs="Times New Roman"/>
          <w:sz w:val="20"/>
          <w:szCs w:val="20"/>
          <w:lang w:eastAsia="fr-FR"/>
        </w:rPr>
        <w:t>Monsieur/Madame le Maire rappelle que l</w:t>
      </w:r>
      <w:r>
        <w:rPr>
          <w:rFonts w:ascii="Titillium" w:eastAsia="Times New Roman" w:hAnsi="Titillium" w:cs="Times New Roman"/>
          <w:sz w:val="20"/>
          <w:szCs w:val="20"/>
          <w:lang w:eastAsia="fr-FR"/>
        </w:rPr>
        <w:t>a Commune est libre de choisir dans le panel de prestations proposées celles dont elle a besoin.</w:t>
      </w:r>
    </w:p>
    <w:p w14:paraId="5E142950" w14:textId="77777777" w:rsidR="00AB5AE9" w:rsidRDefault="00AB5AE9" w:rsidP="00AB5AE9">
      <w:pPr>
        <w:ind w:firstLine="708"/>
        <w:rPr>
          <w:rFonts w:ascii="Titillium" w:eastAsia="Times New Roman" w:hAnsi="Titillium" w:cs="Times New Roman"/>
          <w:sz w:val="20"/>
          <w:szCs w:val="20"/>
          <w:lang w:eastAsia="fr-FR"/>
        </w:rPr>
      </w:pPr>
    </w:p>
    <w:p w14:paraId="4681D860" w14:textId="77777777" w:rsidR="00AB5AE9" w:rsidRDefault="00AB5AE9" w:rsidP="00AB5AE9">
      <w:pPr>
        <w:ind w:firstLine="708"/>
        <w:rPr>
          <w:rFonts w:ascii="Titillium" w:eastAsia="Times New Roman" w:hAnsi="Titillium" w:cs="Times New Roman"/>
          <w:sz w:val="20"/>
          <w:szCs w:val="20"/>
          <w:lang w:eastAsia="fr-FR"/>
        </w:rPr>
      </w:pPr>
      <w:r>
        <w:rPr>
          <w:rFonts w:ascii="Titillium" w:eastAsia="Times New Roman" w:hAnsi="Titillium" w:cs="Times New Roman"/>
          <w:sz w:val="20"/>
          <w:szCs w:val="20"/>
          <w:lang w:eastAsia="fr-FR"/>
        </w:rPr>
        <w:t>L’article 8 de la Convention (Conditions Financières) est remplacé par les termes suivants</w:t>
      </w:r>
      <w:r>
        <w:rPr>
          <w:rFonts w:ascii="Calibri" w:eastAsia="Times New Roman" w:hAnsi="Calibri" w:cs="Calibri"/>
          <w:sz w:val="20"/>
          <w:szCs w:val="20"/>
          <w:lang w:eastAsia="fr-FR"/>
        </w:rPr>
        <w:t> </w:t>
      </w:r>
      <w:r>
        <w:rPr>
          <w:rFonts w:ascii="Titillium" w:eastAsia="Times New Roman" w:hAnsi="Titillium" w:cs="Times New Roman"/>
          <w:sz w:val="20"/>
          <w:szCs w:val="20"/>
          <w:lang w:eastAsia="fr-FR"/>
        </w:rPr>
        <w:t>:</w:t>
      </w:r>
    </w:p>
    <w:p w14:paraId="5E48CEB2" w14:textId="77777777" w:rsidR="00AB5AE9" w:rsidRDefault="00AB5AE9" w:rsidP="00AB5AE9">
      <w:pPr>
        <w:rPr>
          <w:rFonts w:ascii="Titillium" w:hAnsi="Titillium" w:cs="Arial"/>
          <w:i/>
          <w:iCs/>
          <w:sz w:val="20"/>
          <w:szCs w:val="20"/>
        </w:rPr>
      </w:pPr>
      <w:r>
        <w:rPr>
          <w:rFonts w:ascii="Titillium" w:hAnsi="Titillium" w:cs="Arial"/>
          <w:i/>
          <w:iCs/>
          <w:sz w:val="20"/>
          <w:szCs w:val="20"/>
        </w:rPr>
        <w:t>«</w:t>
      </w:r>
      <w:r>
        <w:rPr>
          <w:rFonts w:ascii="Calibri" w:hAnsi="Calibri" w:cs="Calibri"/>
          <w:i/>
          <w:iCs/>
          <w:sz w:val="20"/>
          <w:szCs w:val="20"/>
        </w:rPr>
        <w:t> </w:t>
      </w:r>
      <w:r>
        <w:rPr>
          <w:rFonts w:ascii="Titillium" w:hAnsi="Titillium" w:cs="Arial"/>
          <w:i/>
          <w:iCs/>
          <w:sz w:val="20"/>
          <w:szCs w:val="20"/>
        </w:rPr>
        <w:t>Les conditions financières sont détaillées en Annexe 2 de la convention («</w:t>
      </w:r>
      <w:r>
        <w:rPr>
          <w:rFonts w:ascii="Calibri" w:hAnsi="Calibri" w:cs="Calibri"/>
          <w:i/>
          <w:iCs/>
          <w:sz w:val="20"/>
          <w:szCs w:val="20"/>
        </w:rPr>
        <w:t> </w:t>
      </w:r>
      <w:r>
        <w:rPr>
          <w:rFonts w:ascii="Titillium" w:hAnsi="Titillium" w:cs="Arial"/>
          <w:i/>
          <w:iCs/>
          <w:sz w:val="20"/>
          <w:szCs w:val="20"/>
        </w:rPr>
        <w:t>Conditions Financières au 19 décembre 2022</w:t>
      </w:r>
      <w:r>
        <w:rPr>
          <w:rFonts w:ascii="Calibri" w:hAnsi="Calibri" w:cs="Calibri"/>
          <w:i/>
          <w:iCs/>
          <w:sz w:val="20"/>
          <w:szCs w:val="20"/>
        </w:rPr>
        <w:t> </w:t>
      </w:r>
      <w:r>
        <w:rPr>
          <w:rFonts w:ascii="Titillium" w:hAnsi="Titillium" w:cs="Arial"/>
          <w:i/>
          <w:iCs/>
          <w:sz w:val="20"/>
          <w:szCs w:val="20"/>
        </w:rPr>
        <w:t>»).</w:t>
      </w:r>
    </w:p>
    <w:p w14:paraId="2A2E6C3D" w14:textId="77777777" w:rsidR="00AB5AE9" w:rsidRDefault="00AB5AE9" w:rsidP="00AB5AE9">
      <w:pPr>
        <w:rPr>
          <w:rFonts w:ascii="Titillium" w:hAnsi="Titillium" w:cs="Arial"/>
          <w:i/>
          <w:iCs/>
          <w:sz w:val="20"/>
          <w:szCs w:val="20"/>
        </w:rPr>
      </w:pPr>
      <w:r>
        <w:rPr>
          <w:rFonts w:ascii="Titillium" w:hAnsi="Titillium" w:cs="Arial"/>
          <w:i/>
          <w:iCs/>
          <w:sz w:val="20"/>
          <w:szCs w:val="20"/>
        </w:rPr>
        <w:t>Elles décrivent les conditions financières aussi bien pour les actions réalisées en interne par TE</w:t>
      </w:r>
      <w:r>
        <w:rPr>
          <w:rFonts w:ascii="Calibri" w:hAnsi="Calibri" w:cs="Calibri"/>
          <w:i/>
          <w:iCs/>
          <w:sz w:val="20"/>
          <w:szCs w:val="20"/>
        </w:rPr>
        <w:t> </w:t>
      </w:r>
      <w:r>
        <w:rPr>
          <w:rFonts w:ascii="Titillium" w:hAnsi="Titillium" w:cs="Arial"/>
          <w:i/>
          <w:iCs/>
          <w:sz w:val="20"/>
          <w:szCs w:val="20"/>
        </w:rPr>
        <w:t>47 que pour les actions réalisées par des acteurs externes en application des marchés publics conclus par TE</w:t>
      </w:r>
      <w:r>
        <w:rPr>
          <w:rFonts w:ascii="Calibri" w:hAnsi="Calibri" w:cs="Calibri"/>
          <w:i/>
          <w:iCs/>
          <w:sz w:val="20"/>
          <w:szCs w:val="20"/>
        </w:rPr>
        <w:t> </w:t>
      </w:r>
      <w:r>
        <w:rPr>
          <w:rFonts w:ascii="Titillium" w:hAnsi="Titillium" w:cs="Arial"/>
          <w:i/>
          <w:iCs/>
          <w:sz w:val="20"/>
          <w:szCs w:val="20"/>
        </w:rPr>
        <w:t>47.</w:t>
      </w:r>
    </w:p>
    <w:p w14:paraId="51FB3760" w14:textId="77777777" w:rsidR="00AB5AE9" w:rsidRDefault="00AB5AE9" w:rsidP="00AB5AE9">
      <w:pPr>
        <w:rPr>
          <w:rFonts w:ascii="Titillium" w:eastAsia="Arial" w:hAnsi="Titillium"/>
          <w:i/>
          <w:iCs/>
          <w:sz w:val="20"/>
          <w:szCs w:val="20"/>
        </w:rPr>
      </w:pPr>
      <w:bookmarkStart w:id="0" w:name="_Hlk121911684"/>
      <w:r>
        <w:rPr>
          <w:rFonts w:ascii="Titillium" w:eastAsia="Arial" w:hAnsi="Titillium"/>
          <w:i/>
          <w:iCs/>
          <w:sz w:val="20"/>
          <w:szCs w:val="20"/>
        </w:rPr>
        <w:t>Pour les actions réalisées par des acteurs externes, TE</w:t>
      </w:r>
      <w:r>
        <w:rPr>
          <w:rFonts w:ascii="Calibri" w:eastAsia="Arial" w:hAnsi="Calibri" w:cs="Calibri"/>
          <w:i/>
          <w:iCs/>
          <w:sz w:val="20"/>
          <w:szCs w:val="20"/>
        </w:rPr>
        <w:t> </w:t>
      </w:r>
      <w:r>
        <w:rPr>
          <w:rFonts w:ascii="Titillium" w:eastAsia="Arial" w:hAnsi="Titillium"/>
          <w:i/>
          <w:iCs/>
          <w:sz w:val="20"/>
          <w:szCs w:val="20"/>
        </w:rPr>
        <w:t xml:space="preserve">47 percevra des frais de gestion pour couvrir les frais de suivi technique, administratif et financier des opérations. Ces frais de gestion s’élèveront à 4 % du coût </w:t>
      </w:r>
      <w:r>
        <w:rPr>
          <w:rFonts w:ascii="Titillium" w:eastAsia="Arial" w:hAnsi="Titillium"/>
          <w:b/>
          <w:bCs/>
          <w:i/>
          <w:iCs/>
          <w:sz w:val="20"/>
          <w:szCs w:val="20"/>
        </w:rPr>
        <w:t>HT</w:t>
      </w:r>
      <w:r>
        <w:rPr>
          <w:rFonts w:ascii="Titillium" w:eastAsia="Arial" w:hAnsi="Titillium"/>
          <w:i/>
          <w:iCs/>
          <w:sz w:val="20"/>
          <w:szCs w:val="20"/>
        </w:rPr>
        <w:t xml:space="preserve"> des dépenses engagées.</w:t>
      </w:r>
    </w:p>
    <w:p w14:paraId="2D884833" w14:textId="77777777" w:rsidR="00AB5AE9" w:rsidRDefault="00AB5AE9" w:rsidP="00AB5AE9">
      <w:pPr>
        <w:rPr>
          <w:rFonts w:ascii="Titillium" w:hAnsi="Titillium" w:cs="Arial"/>
          <w:i/>
          <w:iCs/>
          <w:sz w:val="20"/>
          <w:szCs w:val="20"/>
        </w:rPr>
      </w:pPr>
      <w:r>
        <w:rPr>
          <w:rFonts w:ascii="Titillium" w:eastAsia="Arial" w:hAnsi="Titillium"/>
          <w:i/>
          <w:iCs/>
          <w:sz w:val="20"/>
          <w:szCs w:val="20"/>
        </w:rPr>
        <w:t>L’ensemble des coûts des prestations réalisées dans le cadre de la Convention sera assujetti à l’application du taux de TVA en vigueur.</w:t>
      </w:r>
      <w:r>
        <w:rPr>
          <w:rFonts w:ascii="Calibri" w:eastAsia="Arial" w:hAnsi="Calibri" w:cs="Calibri"/>
          <w:i/>
          <w:iCs/>
          <w:sz w:val="20"/>
          <w:szCs w:val="20"/>
        </w:rPr>
        <w:t> </w:t>
      </w:r>
      <w:r>
        <w:rPr>
          <w:rFonts w:ascii="Titillium" w:eastAsia="Arial" w:hAnsi="Titillium" w:cs="Titillium"/>
          <w:i/>
          <w:iCs/>
          <w:sz w:val="20"/>
          <w:szCs w:val="20"/>
        </w:rPr>
        <w:t>»</w:t>
      </w:r>
    </w:p>
    <w:bookmarkEnd w:id="0"/>
    <w:p w14:paraId="60469CB3" w14:textId="77777777" w:rsidR="00AB5AE9" w:rsidRDefault="00AB5AE9" w:rsidP="00AB5AE9">
      <w:pPr>
        <w:rPr>
          <w:rFonts w:ascii="Titillium" w:hAnsi="Titillium" w:cs="Arial"/>
        </w:rPr>
      </w:pPr>
    </w:p>
    <w:p w14:paraId="0FF66682" w14:textId="77777777" w:rsidR="00AB5AE9" w:rsidRDefault="00AB5AE9" w:rsidP="00AB5AE9">
      <w:pPr>
        <w:ind w:firstLine="708"/>
        <w:rPr>
          <w:rFonts w:ascii="Titillium" w:eastAsia="Times New Roman" w:hAnsi="Titillium" w:cs="Times New Roman"/>
          <w:sz w:val="20"/>
          <w:szCs w:val="20"/>
          <w:lang w:eastAsia="fr-FR"/>
        </w:rPr>
      </w:pPr>
      <w:r>
        <w:rPr>
          <w:rFonts w:ascii="Titillium" w:eastAsia="Times New Roman" w:hAnsi="Titillium" w:cs="Times New Roman"/>
          <w:sz w:val="20"/>
          <w:szCs w:val="20"/>
          <w:lang w:eastAsia="fr-FR"/>
        </w:rPr>
        <w:t>L’annexe 2 est également modifiée pour préciser que les coûts unitaires proposés sont HT et que tous ces coûts sont soumis à la TVA au taux en vigueur.</w:t>
      </w:r>
    </w:p>
    <w:p w14:paraId="2EAF0B14" w14:textId="77777777" w:rsidR="00436669" w:rsidRDefault="00436669" w:rsidP="00436669">
      <w:pPr>
        <w:ind w:firstLine="708"/>
        <w:rPr>
          <w:rFonts w:ascii="Titillium" w:eastAsia="Times New Roman" w:hAnsi="Titillium" w:cs="Times New Roman"/>
        </w:rPr>
      </w:pPr>
    </w:p>
    <w:p w14:paraId="512C0DE4" w14:textId="67D86082" w:rsidR="00436669" w:rsidRDefault="00436669" w:rsidP="00436669">
      <w:pPr>
        <w:ind w:firstLine="708"/>
        <w:rPr>
          <w:rFonts w:ascii="Titillium" w:eastAsia="Times New Roman" w:hAnsi="Titillium" w:cs="Times New Roman"/>
        </w:rPr>
      </w:pPr>
      <w:r w:rsidRPr="004810F9">
        <w:rPr>
          <w:rFonts w:ascii="Titillium" w:eastAsia="Times New Roman" w:hAnsi="Titillium" w:cs="Times New Roman"/>
          <w:highlight w:val="yellow"/>
        </w:rPr>
        <w:t xml:space="preserve">Pour les prestations </w:t>
      </w:r>
      <w:bookmarkStart w:id="1" w:name="_Hlk122516761"/>
      <w:r w:rsidRPr="004810F9">
        <w:rPr>
          <w:rFonts w:ascii="Titillium" w:eastAsia="Times New Roman" w:hAnsi="Titillium" w:cs="Times New Roman"/>
          <w:highlight w:val="yellow"/>
        </w:rPr>
        <w:t xml:space="preserve">à réaliser en interne par TE 47 et commandées avant le </w:t>
      </w:r>
      <w:r w:rsidRPr="004810F9">
        <w:rPr>
          <w:rFonts w:ascii="Titillium" w:eastAsia="Times New Roman" w:hAnsi="Titillium" w:cs="Times New Roman"/>
          <w:highlight w:val="yellow"/>
        </w:rPr>
        <w:br/>
        <w:t>19 décembre 2022</w:t>
      </w:r>
      <w:bookmarkEnd w:id="1"/>
      <w:r w:rsidRPr="004810F9">
        <w:rPr>
          <w:rFonts w:ascii="Titillium" w:eastAsia="Times New Roman" w:hAnsi="Titillium" w:cs="Times New Roman"/>
          <w:highlight w:val="yellow"/>
        </w:rPr>
        <w:t xml:space="preserve">, TE 47 appliquera une réfaction de 20 % du montant </w:t>
      </w:r>
      <w:r w:rsidR="00645DD6" w:rsidRPr="004810F9">
        <w:rPr>
          <w:rFonts w:ascii="Titillium" w:eastAsia="Times New Roman" w:hAnsi="Titillium" w:cs="Times New Roman"/>
          <w:highlight w:val="yellow"/>
        </w:rPr>
        <w:t xml:space="preserve">HT </w:t>
      </w:r>
      <w:r w:rsidRPr="004810F9">
        <w:rPr>
          <w:rFonts w:ascii="Titillium" w:eastAsia="Times New Roman" w:hAnsi="Titillium" w:cs="Times New Roman"/>
          <w:highlight w:val="yellow"/>
        </w:rPr>
        <w:t>facturé.</w:t>
      </w:r>
    </w:p>
    <w:p w14:paraId="478D8147" w14:textId="77777777" w:rsidR="00AB5AE9" w:rsidRDefault="00AB5AE9" w:rsidP="00AB5AE9">
      <w:pPr>
        <w:rPr>
          <w:rFonts w:ascii="Titillium" w:hAnsi="Titillium" w:cs="Arial"/>
        </w:rPr>
      </w:pPr>
    </w:p>
    <w:p w14:paraId="1AA56CEB" w14:textId="77777777" w:rsidR="00AB5AE9" w:rsidRDefault="00AB5AE9" w:rsidP="00AB5AE9">
      <w:pPr>
        <w:rPr>
          <w:rFonts w:ascii="Titillium" w:eastAsia="Calibri" w:hAnsi="Titillium" w:cs="Calibri"/>
          <w:b/>
          <w:bCs/>
        </w:rPr>
      </w:pPr>
      <w:r>
        <w:rPr>
          <w:rFonts w:ascii="Titillium" w:eastAsia="Calibri" w:hAnsi="Titillium" w:cs="Calibri"/>
          <w:b/>
          <w:bCs/>
        </w:rPr>
        <w:t>Il est proposé au Conseil Municipal</w:t>
      </w:r>
      <w:r>
        <w:rPr>
          <w:rFonts w:ascii="Courier New" w:eastAsia="Calibri" w:hAnsi="Courier New" w:cs="Courier New"/>
          <w:b/>
          <w:bCs/>
        </w:rPr>
        <w:t> </w:t>
      </w:r>
      <w:r>
        <w:rPr>
          <w:rFonts w:ascii="Titillium" w:eastAsia="Calibri" w:hAnsi="Titillium" w:cs="Calibri"/>
          <w:b/>
          <w:bCs/>
        </w:rPr>
        <w:t xml:space="preserve">: </w:t>
      </w:r>
    </w:p>
    <w:p w14:paraId="398D3D64" w14:textId="77777777" w:rsidR="00AB5AE9" w:rsidRPr="00757BED" w:rsidRDefault="00AB5AE9" w:rsidP="00AB5AE9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129"/>
        <w:contextualSpacing/>
        <w:textAlignment w:val="baseline"/>
        <w:rPr>
          <w:rFonts w:ascii="Titillium" w:eastAsia="Calibri" w:hAnsi="Titillium" w:cs="Calibri"/>
          <w:b/>
          <w:bCs/>
        </w:rPr>
      </w:pPr>
      <w:r w:rsidRPr="00757BED">
        <w:rPr>
          <w:rFonts w:ascii="Titillium" w:eastAsia="Calibri" w:hAnsi="Titillium" w:cs="Calibri"/>
          <w:b/>
          <w:bCs/>
        </w:rPr>
        <w:t xml:space="preserve">d’approuver la modification de la convention entre la commune et TE 47, portant sur un accompagnement à la transition énergétique et l’avenant n°1 correspondant </w:t>
      </w:r>
      <w:r w:rsidRPr="00757BED">
        <w:rPr>
          <w:rFonts w:ascii="Calibri" w:eastAsia="Calibri" w:hAnsi="Calibri" w:cs="Calibri"/>
          <w:b/>
          <w:bCs/>
        </w:rPr>
        <w:t>;</w:t>
      </w:r>
    </w:p>
    <w:p w14:paraId="4CAFD5D3" w14:textId="59226B5A" w:rsidR="000D6911" w:rsidRDefault="00AB5AE9" w:rsidP="00AB5AE9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129"/>
        <w:contextualSpacing/>
        <w:textAlignment w:val="baseline"/>
      </w:pPr>
      <w:r>
        <w:rPr>
          <w:rFonts w:ascii="Titillium" w:eastAsia="Calibri" w:hAnsi="Titillium" w:cs="Calibri"/>
          <w:b/>
          <w:bCs/>
        </w:rPr>
        <w:t xml:space="preserve">de </w:t>
      </w:r>
      <w:r w:rsidRPr="00AB5AE9">
        <w:rPr>
          <w:rFonts w:ascii="Titillium" w:eastAsia="Calibri" w:hAnsi="Titillium" w:cs="Calibri"/>
          <w:b/>
          <w:bCs/>
        </w:rPr>
        <w:t>donne</w:t>
      </w:r>
      <w:r>
        <w:rPr>
          <w:rFonts w:ascii="Titillium" w:eastAsia="Calibri" w:hAnsi="Titillium" w:cs="Calibri"/>
          <w:b/>
          <w:bCs/>
        </w:rPr>
        <w:t>r</w:t>
      </w:r>
      <w:r w:rsidRPr="00AB5AE9">
        <w:rPr>
          <w:rFonts w:ascii="Titillium" w:eastAsia="Calibri" w:hAnsi="Titillium" w:cs="Calibri"/>
          <w:b/>
          <w:bCs/>
        </w:rPr>
        <w:t xml:space="preserve"> mandat à Monsieur/Madame le Maire pour signer cet avenant ainsi que tous les documents liés à cette affaire.</w:t>
      </w:r>
    </w:p>
    <w:sectPr w:rsidR="000D6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23AE1"/>
    <w:multiLevelType w:val="hybridMultilevel"/>
    <w:tmpl w:val="E4008278"/>
    <w:lvl w:ilvl="0" w:tplc="5AAC09D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93366"/>
        <w:sz w:val="20"/>
        <w:szCs w:val="20"/>
      </w:rPr>
    </w:lvl>
    <w:lvl w:ilvl="1" w:tplc="6D5830FA">
      <w:numFmt w:val="bullet"/>
      <w:lvlText w:val="•"/>
      <w:lvlJc w:val="left"/>
      <w:pPr>
        <w:ind w:left="1644" w:hanging="564"/>
      </w:pPr>
      <w:rPr>
        <w:rFonts w:ascii="Titillium" w:eastAsia="Times New Roman" w:hAnsi="Titillium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8766D"/>
    <w:multiLevelType w:val="hybridMultilevel"/>
    <w:tmpl w:val="1366B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2854370">
    <w:abstractNumId w:val="1"/>
  </w:num>
  <w:num w:numId="2" w16cid:durableId="1243221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AE9"/>
    <w:rsid w:val="000D6911"/>
    <w:rsid w:val="0015672A"/>
    <w:rsid w:val="00436669"/>
    <w:rsid w:val="004810F9"/>
    <w:rsid w:val="00645DD6"/>
    <w:rsid w:val="00987BE2"/>
    <w:rsid w:val="00AB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1181A"/>
  <w15:chartTrackingRefBased/>
  <w15:docId w15:val="{3D7294D0-4662-4159-A0BE-09AF3C1B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AE9"/>
    <w:pPr>
      <w:spacing w:after="0" w:line="240" w:lineRule="auto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aragraphedelisteCar">
    <w:name w:val="Paragraphe de liste Car"/>
    <w:aliases w:val="Paragraphe Car,fleche verte Car,lp1 Car,Paragraphe de liste 2 Car,Puce focus Car,Contact Car,Cegelec - liste Car,Puces 1 Car,ONX_Paragraphe de liste Car,6 pt paragraphe carré Car,List Paragraph Car,texte de base Car,Titree 2 Car"/>
    <w:link w:val="Paragraphedeliste"/>
    <w:uiPriority w:val="34"/>
    <w:locked/>
    <w:rsid w:val="00AB5AE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aliases w:val="Paragraphe,fleche verte,lp1,Paragraphe de liste 2,Puce focus,Contact,Cegelec - liste,Puces 1,ONX_Paragraphe de liste,6 pt paragraphe carré,List Paragraph,texte de base,calia titre 3,Normal bullet 2,List Paragraph1,Titree 2"/>
    <w:basedOn w:val="Normal"/>
    <w:link w:val="ParagraphedelisteCar"/>
    <w:uiPriority w:val="34"/>
    <w:qFormat/>
    <w:rsid w:val="00AB5AE9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uiPriority w:val="99"/>
    <w:semiHidden/>
    <w:unhideWhenUsed/>
    <w:rsid w:val="00AB5AE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B5AE9"/>
    <w:rPr>
      <w:rFonts w:ascii="Titillium" w:eastAsia="Calibri" w:hAnsi="Titillium" w:cs="Arial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AB5AE9"/>
    <w:rPr>
      <w:rFonts w:ascii="Titillium" w:eastAsia="Calibri" w:hAnsi="Titillium" w:cs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LAMY</dc:creator>
  <cp:keywords/>
  <dc:description/>
  <cp:lastModifiedBy>Laurence LAMY</cp:lastModifiedBy>
  <cp:revision>3</cp:revision>
  <dcterms:created xsi:type="dcterms:W3CDTF">2022-12-21T14:19:00Z</dcterms:created>
  <dcterms:modified xsi:type="dcterms:W3CDTF">2022-12-21T14:22:00Z</dcterms:modified>
</cp:coreProperties>
</file>