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5E5516" w14:textId="77777777" w:rsidR="00461C77" w:rsidRDefault="00461C77" w:rsidP="00461C77">
      <w:pPr>
        <w:tabs>
          <w:tab w:val="center" w:pos="4703"/>
        </w:tabs>
      </w:pPr>
      <w:r>
        <w:rPr>
          <w:noProof/>
          <w:lang w:eastAsia="fr-FR"/>
        </w:rPr>
        <mc:AlternateContent>
          <mc:Choice Requires="wps">
            <w:drawing>
              <wp:anchor distT="0" distB="0" distL="114300" distR="114300" simplePos="0" relativeHeight="251660288" behindDoc="0" locked="0" layoutInCell="1" allowOverlap="1" wp14:anchorId="27CE1B29" wp14:editId="28F4B097">
                <wp:simplePos x="0" y="0"/>
                <wp:positionH relativeFrom="column">
                  <wp:posOffset>1873512</wp:posOffset>
                </wp:positionH>
                <wp:positionV relativeFrom="paragraph">
                  <wp:posOffset>-76878</wp:posOffset>
                </wp:positionV>
                <wp:extent cx="2097741" cy="368834"/>
                <wp:effectExtent l="0" t="0" r="17145" b="12700"/>
                <wp:wrapNone/>
                <wp:docPr id="1" name="Zone de texte 1"/>
                <wp:cNvGraphicFramePr/>
                <a:graphic xmlns:a="http://schemas.openxmlformats.org/drawingml/2006/main">
                  <a:graphicData uri="http://schemas.microsoft.com/office/word/2010/wordprocessingShape">
                    <wps:wsp>
                      <wps:cNvSpPr txBox="1"/>
                      <wps:spPr>
                        <a:xfrm>
                          <a:off x="0" y="0"/>
                          <a:ext cx="2097741" cy="368834"/>
                        </a:xfrm>
                        <a:prstGeom prst="rect">
                          <a:avLst/>
                        </a:prstGeom>
                        <a:solidFill>
                          <a:schemeClr val="lt1"/>
                        </a:solidFill>
                        <a:ln w="6350">
                          <a:solidFill>
                            <a:prstClr val="black"/>
                          </a:solidFill>
                        </a:ln>
                      </wps:spPr>
                      <wps:txbx>
                        <w:txbxContent>
                          <w:p w14:paraId="337E3A48" w14:textId="77777777" w:rsidR="00461C77" w:rsidRPr="002F06C0" w:rsidRDefault="00461C77" w:rsidP="00461C77">
                            <w:pPr>
                              <w:jc w:val="center"/>
                              <w:rPr>
                                <w:rFonts w:ascii="Titillium" w:hAnsi="Titillium"/>
                                <w:b/>
                                <w:bCs/>
                                <w:sz w:val="24"/>
                                <w:szCs w:val="24"/>
                              </w:rPr>
                            </w:pPr>
                            <w:r w:rsidRPr="002F06C0">
                              <w:rPr>
                                <w:rFonts w:ascii="Titillium" w:hAnsi="Titillium"/>
                                <w:b/>
                                <w:bCs/>
                                <w:sz w:val="24"/>
                                <w:szCs w:val="24"/>
                              </w:rPr>
                              <w:t>Projet de délibération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7CE1B29" id="_x0000_t202" coordsize="21600,21600" o:spt="202" path="m,l,21600r21600,l21600,xe">
                <v:stroke joinstyle="miter"/>
                <v:path gradientshapeok="t" o:connecttype="rect"/>
              </v:shapetype>
              <v:shape id="Zone de texte 1" o:spid="_x0000_s1026" type="#_x0000_t202" style="position:absolute;margin-left:147.5pt;margin-top:-6.05pt;width:165.2pt;height:29.0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" fillcolor="white [3201]" strokeweight=".5pt">
                <v:textbox>
                  <w:txbxContent>
                    <w:p w14:paraId="337E3A48" w14:textId="77777777" w:rsidR="00461C77" w:rsidRPr="002F06C0" w:rsidRDefault="00461C77" w:rsidP="00461C77">
                      <w:pPr>
                        <w:jc w:val="center"/>
                        <w:rPr>
                          <w:rFonts w:ascii="Titillium" w:hAnsi="Titillium"/>
                          <w:b/>
                          <w:bCs/>
                          <w:sz w:val="24"/>
                          <w:szCs w:val="24"/>
                        </w:rPr>
                      </w:pPr>
                      <w:r w:rsidRPr="002F06C0">
                        <w:rPr>
                          <w:rFonts w:ascii="Titillium" w:hAnsi="Titillium"/>
                          <w:b/>
                          <w:bCs/>
                          <w:sz w:val="24"/>
                          <w:szCs w:val="24"/>
                        </w:rPr>
                        <w:t>Projet de délibération</w:t>
                      </w:r>
                    </w:p>
                  </w:txbxContent>
                </v:textbox>
              </v:shape>
            </w:pict>
          </mc:Fallback>
        </mc:AlternateContent>
      </w:r>
      <w:r>
        <w:rPr>
          <w:noProof/>
          <w:lang w:eastAsia="fr-FR"/>
        </w:rPr>
        <w:drawing>
          <wp:anchor distT="0" distB="0" distL="114300" distR="114300" simplePos="0" relativeHeight="251659264" behindDoc="0" locked="0" layoutInCell="1" allowOverlap="1" wp14:anchorId="4E274947" wp14:editId="5432FA04">
            <wp:simplePos x="0" y="0"/>
            <wp:positionH relativeFrom="page">
              <wp:posOffset>253045</wp:posOffset>
            </wp:positionH>
            <wp:positionV relativeFrom="paragraph">
              <wp:posOffset>-552856</wp:posOffset>
            </wp:positionV>
            <wp:extent cx="1798064" cy="799139"/>
            <wp:effectExtent l="0" t="0" r="0" b="1270"/>
            <wp:wrapNone/>
            <wp:docPr id="50" name="Imag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ête TE 47.png"/>
                    <pic:cNvPicPr/>
                  </pic:nvPicPr>
                  <pic:blipFill rotWithShape="1">
                    <a:blip r:embed="rId7" cstate="print">
                      <a:extLst>
                        <a:ext uri="{28A0092B-C50C-407E-A947-70E740481C1C}">
                          <a14:useLocalDpi xmlns:a14="http://schemas.microsoft.com/office/drawing/2010/main" val="0"/>
                        </a:ext>
                      </a:extLst>
                    </a:blip>
                    <a:srcRect l="71595" t="19617" r="5255" b="40362"/>
                    <a:stretch/>
                  </pic:blipFill>
                  <pic:spPr bwMode="auto">
                    <a:xfrm>
                      <a:off x="0" y="0"/>
                      <a:ext cx="1798064" cy="79913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²</w:t>
      </w:r>
    </w:p>
    <w:p w14:paraId="3CF2F034" w14:textId="77777777" w:rsidR="00461C77" w:rsidRPr="0061451C" w:rsidRDefault="00461C77" w:rsidP="00461C77">
      <w:pPr>
        <w:spacing w:before="120" w:after="120"/>
        <w:rPr>
          <w:rFonts w:ascii="Arial" w:hAnsi="Arial" w:cs="Arial"/>
          <w:b/>
          <w:bCs/>
          <w:spacing w:val="40"/>
        </w:rPr>
      </w:pPr>
    </w:p>
    <w:p w14:paraId="4EF5D21B" w14:textId="77777777" w:rsidR="00461C77" w:rsidRPr="002F06C0" w:rsidRDefault="00461C77" w:rsidP="00461C77">
      <w:pPr>
        <w:jc w:val="both"/>
        <w:rPr>
          <w:rFonts w:ascii="Arial" w:hAnsi="Arial" w:cs="Arial"/>
        </w:rPr>
      </w:pPr>
      <w:r w:rsidRPr="002F06C0">
        <w:rPr>
          <w:rFonts w:ascii="Arial" w:hAnsi="Arial" w:cs="Arial"/>
          <w:b/>
          <w:bCs/>
        </w:rPr>
        <w:t xml:space="preserve">Délibération portant sur l’adhésion </w:t>
      </w:r>
      <w:r>
        <w:rPr>
          <w:rFonts w:ascii="Arial" w:hAnsi="Arial" w:cs="Arial"/>
          <w:b/>
          <w:bCs/>
        </w:rPr>
        <w:t xml:space="preserve">de la commune </w:t>
      </w:r>
      <w:r w:rsidRPr="002F06C0">
        <w:rPr>
          <w:rFonts w:ascii="Arial" w:hAnsi="Arial" w:cs="Arial"/>
          <w:b/>
          <w:bCs/>
        </w:rPr>
        <w:t xml:space="preserve">à </w:t>
      </w:r>
      <w:r>
        <w:rPr>
          <w:rFonts w:ascii="Arial" w:hAnsi="Arial" w:cs="Arial"/>
          <w:b/>
          <w:bCs/>
        </w:rPr>
        <w:t>la c</w:t>
      </w:r>
      <w:r w:rsidRPr="006B7DB9">
        <w:rPr>
          <w:rFonts w:ascii="Arial" w:hAnsi="Arial" w:cs="Arial"/>
          <w:b/>
          <w:bCs/>
        </w:rPr>
        <w:t>onvention d’accompagnement</w:t>
      </w:r>
      <w:r>
        <w:rPr>
          <w:rFonts w:ascii="Arial" w:hAnsi="Arial" w:cs="Arial"/>
          <w:b/>
          <w:bCs/>
        </w:rPr>
        <w:t xml:space="preserve"> </w:t>
      </w:r>
      <w:r w:rsidRPr="006B7DB9">
        <w:rPr>
          <w:rFonts w:ascii="Arial" w:hAnsi="Arial" w:cs="Arial"/>
          <w:b/>
          <w:bCs/>
        </w:rPr>
        <w:t>à la transition énergétique</w:t>
      </w:r>
      <w:r>
        <w:rPr>
          <w:rFonts w:ascii="Arial" w:hAnsi="Arial" w:cs="Arial"/>
          <w:b/>
          <w:bCs/>
        </w:rPr>
        <w:t xml:space="preserve"> </w:t>
      </w:r>
      <w:r w:rsidRPr="006B7DB9">
        <w:rPr>
          <w:rFonts w:ascii="Arial" w:hAnsi="Arial" w:cs="Arial"/>
          <w:b/>
          <w:bCs/>
        </w:rPr>
        <w:t>de Territoire d’Energie Lot-et-Garonne</w:t>
      </w:r>
      <w:r w:rsidRPr="006B7DB9" w:rsidDel="006B7DB9">
        <w:rPr>
          <w:rFonts w:ascii="Arial" w:hAnsi="Arial" w:cs="Arial"/>
          <w:b/>
          <w:bCs/>
        </w:rPr>
        <w:t xml:space="preserve"> </w:t>
      </w:r>
      <w:r w:rsidRPr="002F06C0">
        <w:rPr>
          <w:rFonts w:ascii="Arial" w:hAnsi="Arial" w:cs="Arial"/>
          <w:b/>
          <w:bCs/>
        </w:rPr>
        <w:t>(</w:t>
      </w:r>
      <w:r>
        <w:rPr>
          <w:rFonts w:ascii="Arial" w:hAnsi="Arial" w:cs="Arial"/>
          <w:b/>
          <w:bCs/>
        </w:rPr>
        <w:t>TE 47</w:t>
      </w:r>
      <w:r w:rsidRPr="002F06C0">
        <w:rPr>
          <w:rFonts w:ascii="Arial" w:hAnsi="Arial" w:cs="Arial"/>
          <w:b/>
          <w:bCs/>
        </w:rPr>
        <w:t>).</w:t>
      </w:r>
    </w:p>
    <w:p w14:paraId="478A4022" w14:textId="206344E6" w:rsidR="00461C77" w:rsidRPr="00591940" w:rsidRDefault="00461C77" w:rsidP="00461C77">
      <w:pPr>
        <w:jc w:val="both"/>
        <w:rPr>
          <w:rFonts w:ascii="Titillium" w:hAnsi="Titillium"/>
          <w:i/>
        </w:rPr>
      </w:pPr>
      <w:r w:rsidRPr="00591940">
        <w:rPr>
          <w:rFonts w:ascii="Titillium" w:hAnsi="Titillium"/>
          <w:i/>
        </w:rPr>
        <w:t>Vu les statuts d</w:t>
      </w:r>
      <w:r>
        <w:rPr>
          <w:rFonts w:ascii="Titillium" w:hAnsi="Titillium"/>
          <w:i/>
        </w:rPr>
        <w:t>e</w:t>
      </w:r>
      <w:r w:rsidRPr="00591940">
        <w:rPr>
          <w:rFonts w:ascii="Titillium" w:hAnsi="Titillium"/>
          <w:i/>
        </w:rPr>
        <w:t xml:space="preserve"> Territoire d’Énergie Lot-et-Garonne (TE 47) </w:t>
      </w:r>
      <w:r w:rsidRPr="00407C86">
        <w:rPr>
          <w:rFonts w:ascii="Titillium" w:hAnsi="Titillium"/>
          <w:i/>
        </w:rPr>
        <w:t>modifiés en dernier lieu par arrêté préfectoral en date du</w:t>
      </w:r>
      <w:r w:rsidR="00315DE0">
        <w:rPr>
          <w:rFonts w:ascii="Titillium" w:hAnsi="Titillium"/>
          <w:i/>
        </w:rPr>
        <w:t xml:space="preserve"> 18 octobre 2022</w:t>
      </w:r>
      <w:r w:rsidRPr="006D263D">
        <w:rPr>
          <w:rFonts w:ascii="Titillium" w:hAnsi="Titillium"/>
          <w:i/>
        </w:rPr>
        <w:t>,</w:t>
      </w:r>
    </w:p>
    <w:p w14:paraId="1DCB2887" w14:textId="77777777" w:rsidR="00461C77" w:rsidRDefault="00461C77" w:rsidP="00461C77">
      <w:pPr>
        <w:jc w:val="both"/>
        <w:rPr>
          <w:rFonts w:ascii="Titillium" w:hAnsi="Titillium"/>
          <w:i/>
        </w:rPr>
      </w:pPr>
      <w:r w:rsidRPr="00591940">
        <w:rPr>
          <w:rFonts w:ascii="Titillium" w:hAnsi="Titillium"/>
          <w:i/>
        </w:rPr>
        <w:t>Vu le Code de l’énergie</w:t>
      </w:r>
      <w:r>
        <w:rPr>
          <w:rFonts w:ascii="Titillium" w:hAnsi="Titillium"/>
          <w:i/>
        </w:rPr>
        <w:t>,</w:t>
      </w:r>
    </w:p>
    <w:p w14:paraId="15DE8429" w14:textId="546A0D48" w:rsidR="00461C77" w:rsidRPr="000C0FA1" w:rsidRDefault="00461C77" w:rsidP="00461C77">
      <w:pPr>
        <w:jc w:val="both"/>
        <w:rPr>
          <w:rFonts w:ascii="Titillium" w:hAnsi="Titillium"/>
          <w:i/>
        </w:rPr>
      </w:pPr>
      <w:r>
        <w:rPr>
          <w:rFonts w:ascii="Titillium" w:hAnsi="Titillium"/>
          <w:bCs/>
          <w:i/>
        </w:rPr>
        <w:t xml:space="preserve">Vu l’Article </w:t>
      </w:r>
      <w:r w:rsidRPr="00407C86">
        <w:rPr>
          <w:rFonts w:ascii="Titillium" w:hAnsi="Titillium"/>
          <w:i/>
        </w:rPr>
        <w:t>R2122-8 </w:t>
      </w:r>
      <w:r>
        <w:rPr>
          <w:rFonts w:ascii="Titillium" w:hAnsi="Titillium"/>
          <w:i/>
        </w:rPr>
        <w:t>du Code de la Commande Publique,</w:t>
      </w:r>
    </w:p>
    <w:p w14:paraId="1480C674" w14:textId="77777777" w:rsidR="00461C77" w:rsidRDefault="00461C77" w:rsidP="00461C77">
      <w:pPr>
        <w:jc w:val="both"/>
        <w:rPr>
          <w:rFonts w:ascii="Titillium" w:hAnsi="Titillium"/>
          <w:i/>
        </w:rPr>
      </w:pPr>
      <w:r w:rsidRPr="00591940">
        <w:rPr>
          <w:rFonts w:ascii="Titillium" w:hAnsi="Titillium"/>
          <w:i/>
        </w:rPr>
        <w:t>Vu la loi Grenelle II du 12 juillet 2010 présentant un caractère d’intérêt général pour la protection de l’environnement par l’obligation pesant sur les collectivités d’une meilleure connaissance de leurs performances énergétiques et d’entreprendre des travaux d’amélioration</w:t>
      </w:r>
      <w:r>
        <w:rPr>
          <w:rFonts w:ascii="Titillium" w:hAnsi="Titillium"/>
          <w:i/>
        </w:rPr>
        <w:t>,</w:t>
      </w:r>
    </w:p>
    <w:p w14:paraId="2B4A1467" w14:textId="77777777" w:rsidR="00461C77" w:rsidRPr="00591940" w:rsidRDefault="00461C77" w:rsidP="00461C77">
      <w:pPr>
        <w:jc w:val="both"/>
        <w:rPr>
          <w:rFonts w:ascii="Titillium" w:hAnsi="Titillium"/>
          <w:i/>
        </w:rPr>
      </w:pPr>
      <w:r>
        <w:rPr>
          <w:rFonts w:ascii="Titillium" w:hAnsi="Titillium"/>
          <w:i/>
        </w:rPr>
        <w:t>Vu l</w:t>
      </w:r>
      <w:r w:rsidRPr="00E951DE">
        <w:rPr>
          <w:rFonts w:ascii="Titillium" w:hAnsi="Titillium"/>
          <w:i/>
        </w:rPr>
        <w:t>e dispositif des Certificats d’Economies d’Energie (CEE),</w:t>
      </w:r>
    </w:p>
    <w:p w14:paraId="53FD791A" w14:textId="77777777" w:rsidR="00461C77" w:rsidRPr="00C26767" w:rsidRDefault="00461C77" w:rsidP="00461C77">
      <w:pPr>
        <w:jc w:val="both"/>
        <w:rPr>
          <w:rFonts w:ascii="Titillium" w:hAnsi="Titillium" w:cs="Arial"/>
        </w:rPr>
      </w:pPr>
      <w:r w:rsidRPr="00C26767">
        <w:rPr>
          <w:rFonts w:ascii="Titillium" w:hAnsi="Titillium" w:cs="Arial"/>
          <w:bCs/>
        </w:rPr>
        <w:t>Considérant l’enjeu que représentent aujourd’hui l’efficacité énergétique et les énergies renouvelables</w:t>
      </w:r>
      <w:r w:rsidRPr="00C26767">
        <w:rPr>
          <w:rFonts w:ascii="Titillium" w:hAnsi="Titillium" w:cs="Arial"/>
        </w:rPr>
        <w:t>, TE 47 souhaite encourager et soutenir ses communes adhérentes dans la mise en œuvre d’une politique de bonne gestion énergétique</w:t>
      </w:r>
      <w:r>
        <w:rPr>
          <w:rFonts w:ascii="Titillium" w:hAnsi="Titillium" w:cs="Arial"/>
        </w:rPr>
        <w:t>,</w:t>
      </w:r>
    </w:p>
    <w:p w14:paraId="3E1BB170" w14:textId="6614A7B6" w:rsidR="00461C77" w:rsidRDefault="00461C77" w:rsidP="00461C77">
      <w:pPr>
        <w:overflowPunct w:val="0"/>
        <w:autoSpaceDE w:val="0"/>
        <w:autoSpaceDN w:val="0"/>
        <w:adjustRightInd w:val="0"/>
        <w:jc w:val="both"/>
        <w:textAlignment w:val="baseline"/>
        <w:rPr>
          <w:rFonts w:ascii="Titillium" w:eastAsia="Times New Roman" w:hAnsi="Titillium" w:cs="Times New Roman"/>
        </w:rPr>
      </w:pPr>
      <w:r w:rsidRPr="00407C86">
        <w:rPr>
          <w:rFonts w:ascii="Titillium" w:eastAsia="Times New Roman" w:hAnsi="Titillium" w:cs="Times New Roman"/>
        </w:rPr>
        <w:t xml:space="preserve">Une convention </w:t>
      </w:r>
      <w:r w:rsidRPr="00FA26DD">
        <w:rPr>
          <w:rFonts w:ascii="Titillium" w:eastAsia="Times New Roman" w:hAnsi="Titillium" w:cs="Times New Roman"/>
        </w:rPr>
        <w:t>d’accompagnement à la transition énergétique</w:t>
      </w:r>
      <w:r w:rsidRPr="00FA26DD" w:rsidDel="00FA26DD">
        <w:rPr>
          <w:rFonts w:ascii="Titillium" w:eastAsia="Times New Roman" w:hAnsi="Titillium" w:cs="Times New Roman"/>
        </w:rPr>
        <w:t xml:space="preserve"> </w:t>
      </w:r>
      <w:r w:rsidRPr="00407C86">
        <w:rPr>
          <w:rFonts w:ascii="Titillium" w:eastAsia="Times New Roman" w:hAnsi="Titillium" w:cs="Times New Roman"/>
        </w:rPr>
        <w:t xml:space="preserve">a été élaborée pour permettre aux communes de bénéficier de l’expertise technique, juridique et administrative des services de Territoire d’Energie Lot-et-Garonne </w:t>
      </w:r>
      <w:r>
        <w:rPr>
          <w:rFonts w:ascii="Titillium" w:eastAsia="Times New Roman" w:hAnsi="Titillium" w:cs="Times New Roman"/>
        </w:rPr>
        <w:t xml:space="preserve">afin de </w:t>
      </w:r>
      <w:r w:rsidRPr="00407C86">
        <w:rPr>
          <w:rFonts w:ascii="Titillium" w:eastAsia="Times New Roman" w:hAnsi="Titillium" w:cs="Times New Roman"/>
        </w:rPr>
        <w:t>répondre au mieux aux exigences règlementaires et aux différents enjeux énergétiques.</w:t>
      </w:r>
    </w:p>
    <w:p w14:paraId="4172CF4D" w14:textId="625BCFF6" w:rsidR="00E241FE" w:rsidRPr="00407C86" w:rsidRDefault="00E241FE" w:rsidP="00E241FE">
      <w:pPr>
        <w:ind w:right="-1"/>
        <w:jc w:val="both"/>
        <w:rPr>
          <w:rFonts w:ascii="Titillium" w:eastAsia="Times New Roman" w:hAnsi="Titillium" w:cs="Times New Roman"/>
        </w:rPr>
      </w:pPr>
      <w:r w:rsidRPr="00E241FE">
        <w:rPr>
          <w:rFonts w:ascii="Titillium" w:hAnsi="Titillium" w:cs="Arial"/>
          <w:b/>
          <w:bCs/>
        </w:rPr>
        <w:t>La présente convention</w:t>
      </w:r>
      <w:r w:rsidRPr="00E241FE">
        <w:rPr>
          <w:rFonts w:ascii="Titillium" w:hAnsi="Titillium" w:cs="Arial"/>
          <w:b/>
          <w:bCs/>
        </w:rPr>
        <w:t xml:space="preserve"> du 19/12/2022 annule et </w:t>
      </w:r>
      <w:r w:rsidRPr="00E241FE">
        <w:rPr>
          <w:rFonts w:ascii="Titillium" w:hAnsi="Titillium" w:cs="Arial"/>
          <w:b/>
          <w:bCs/>
        </w:rPr>
        <w:t>remplace</w:t>
      </w:r>
      <w:r>
        <w:rPr>
          <w:rFonts w:ascii="Titillium" w:hAnsi="Titillium" w:cs="Arial"/>
          <w:b/>
          <w:bCs/>
        </w:rPr>
        <w:t xml:space="preserve"> </w:t>
      </w:r>
      <w:r w:rsidRPr="00E241FE">
        <w:rPr>
          <w:rFonts w:ascii="Titillium" w:hAnsi="Titillium" w:cs="Arial"/>
          <w:b/>
          <w:bCs/>
        </w:rPr>
        <w:t>la convention du 13/12/2021</w:t>
      </w:r>
      <w:r>
        <w:rPr>
          <w:rFonts w:ascii="Titillium" w:hAnsi="Titillium" w:cs="Arial"/>
          <w:b/>
          <w:bCs/>
        </w:rPr>
        <w:t>.</w:t>
      </w:r>
    </w:p>
    <w:p w14:paraId="4772EB1B" w14:textId="77777777" w:rsidR="00461C77" w:rsidRPr="00407C86" w:rsidRDefault="00461C77" w:rsidP="00461C77">
      <w:pPr>
        <w:overflowPunct w:val="0"/>
        <w:autoSpaceDE w:val="0"/>
        <w:autoSpaceDN w:val="0"/>
        <w:adjustRightInd w:val="0"/>
        <w:jc w:val="both"/>
        <w:textAlignment w:val="baseline"/>
        <w:rPr>
          <w:rFonts w:ascii="Titillium" w:eastAsia="Times New Roman" w:hAnsi="Titillium" w:cs="Times New Roman"/>
        </w:rPr>
      </w:pPr>
      <w:r w:rsidRPr="00407C86">
        <w:rPr>
          <w:rFonts w:ascii="Titillium" w:eastAsia="Times New Roman" w:hAnsi="Titillium" w:cs="Times New Roman"/>
        </w:rPr>
        <w:t>Les outils mis à disposition de chaque commune, au travers de cette convention et de son Annexe 1 décrivant en détail ces outils, pourront porter sur :</w:t>
      </w:r>
    </w:p>
    <w:p w14:paraId="1EB24759" w14:textId="77777777" w:rsidR="00461C77" w:rsidRPr="0021769A" w:rsidRDefault="00461C77" w:rsidP="00461C77">
      <w:pPr>
        <w:pStyle w:val="Paragraphedeliste"/>
        <w:numPr>
          <w:ilvl w:val="0"/>
          <w:numId w:val="2"/>
        </w:numPr>
        <w:tabs>
          <w:tab w:val="left" w:pos="720"/>
          <w:tab w:val="right" w:pos="9067"/>
        </w:tabs>
        <w:ind w:right="-1"/>
        <w:contextualSpacing/>
        <w:jc w:val="both"/>
        <w:rPr>
          <w:rFonts w:ascii="Titillium" w:eastAsia="Arial" w:hAnsi="Titillium"/>
          <w:sz w:val="22"/>
          <w:szCs w:val="22"/>
        </w:rPr>
      </w:pPr>
      <w:r>
        <w:rPr>
          <w:rFonts w:ascii="Titillium" w:eastAsia="Arial" w:hAnsi="Titillium"/>
          <w:sz w:val="22"/>
          <w:szCs w:val="22"/>
        </w:rPr>
        <w:t>Le conseil et l’accompagnement par un</w:t>
      </w:r>
      <w:r w:rsidRPr="0021769A">
        <w:rPr>
          <w:rFonts w:ascii="Titillium" w:eastAsia="Arial" w:hAnsi="Titillium"/>
          <w:sz w:val="22"/>
          <w:szCs w:val="22"/>
        </w:rPr>
        <w:t xml:space="preserve"> </w:t>
      </w:r>
      <w:r>
        <w:rPr>
          <w:rFonts w:ascii="Titillium" w:eastAsia="Arial" w:hAnsi="Titillium"/>
          <w:sz w:val="22"/>
          <w:szCs w:val="22"/>
        </w:rPr>
        <w:t>«</w:t>
      </w:r>
      <w:r>
        <w:rPr>
          <w:rFonts w:ascii="Calibri" w:eastAsia="Arial" w:hAnsi="Calibri" w:cs="Calibri"/>
          <w:sz w:val="22"/>
          <w:szCs w:val="22"/>
        </w:rPr>
        <w:t> </w:t>
      </w:r>
      <w:r w:rsidRPr="002E6272">
        <w:rPr>
          <w:rFonts w:ascii="Titillium" w:hAnsi="Titillium" w:cs="Arial"/>
          <w:bCs/>
          <w:sz w:val="22"/>
          <w:szCs w:val="22"/>
        </w:rPr>
        <w:t>É</w:t>
      </w:r>
      <w:r w:rsidRPr="0021769A">
        <w:rPr>
          <w:rFonts w:ascii="Titillium" w:eastAsia="Arial" w:hAnsi="Titillium"/>
          <w:sz w:val="22"/>
          <w:szCs w:val="22"/>
        </w:rPr>
        <w:t>conome de flux</w:t>
      </w:r>
      <w:r>
        <w:rPr>
          <w:rFonts w:ascii="Calibri" w:eastAsia="Arial" w:hAnsi="Calibri" w:cs="Calibri"/>
          <w:sz w:val="22"/>
          <w:szCs w:val="22"/>
        </w:rPr>
        <w:t> </w:t>
      </w:r>
      <w:r>
        <w:rPr>
          <w:rFonts w:ascii="Titillium" w:eastAsia="Arial" w:hAnsi="Titillium" w:cs="Titillium"/>
          <w:sz w:val="22"/>
          <w:szCs w:val="22"/>
        </w:rPr>
        <w:t>»</w:t>
      </w:r>
      <w:r w:rsidRPr="0021769A">
        <w:rPr>
          <w:rFonts w:ascii="Titillium" w:eastAsia="Arial" w:hAnsi="Titillium"/>
          <w:sz w:val="22"/>
          <w:szCs w:val="22"/>
        </w:rPr>
        <w:t>,</w:t>
      </w:r>
    </w:p>
    <w:p w14:paraId="3867E152" w14:textId="77777777" w:rsidR="00461C77" w:rsidRPr="0021769A" w:rsidRDefault="00461C77" w:rsidP="00461C77">
      <w:pPr>
        <w:pStyle w:val="Paragraphedeliste"/>
        <w:numPr>
          <w:ilvl w:val="0"/>
          <w:numId w:val="2"/>
        </w:numPr>
        <w:tabs>
          <w:tab w:val="left" w:pos="720"/>
          <w:tab w:val="right" w:pos="9067"/>
        </w:tabs>
        <w:ind w:right="-1"/>
        <w:contextualSpacing/>
        <w:jc w:val="both"/>
        <w:rPr>
          <w:rFonts w:ascii="Titillium" w:eastAsia="Arial" w:hAnsi="Titillium"/>
          <w:sz w:val="22"/>
          <w:szCs w:val="22"/>
        </w:rPr>
      </w:pPr>
      <w:r w:rsidRPr="0021769A">
        <w:rPr>
          <w:rFonts w:ascii="Titillium" w:eastAsia="Arial" w:hAnsi="Titillium"/>
          <w:sz w:val="22"/>
          <w:szCs w:val="22"/>
        </w:rPr>
        <w:t xml:space="preserve">Les audits énergétiques du patrimoine </w:t>
      </w:r>
      <w:r>
        <w:rPr>
          <w:rFonts w:ascii="Titillium" w:eastAsia="Arial" w:hAnsi="Titillium"/>
          <w:sz w:val="22"/>
          <w:szCs w:val="22"/>
        </w:rPr>
        <w:t>b</w:t>
      </w:r>
      <w:r w:rsidRPr="0021769A">
        <w:rPr>
          <w:rFonts w:ascii="Titillium" w:eastAsia="Arial" w:hAnsi="Titillium"/>
          <w:sz w:val="22"/>
          <w:szCs w:val="22"/>
        </w:rPr>
        <w:t>âti,</w:t>
      </w:r>
    </w:p>
    <w:p w14:paraId="043BE547" w14:textId="77777777" w:rsidR="00461C77" w:rsidRPr="0021769A" w:rsidRDefault="00461C77" w:rsidP="00461C77">
      <w:pPr>
        <w:pStyle w:val="Paragraphedeliste"/>
        <w:numPr>
          <w:ilvl w:val="0"/>
          <w:numId w:val="2"/>
        </w:numPr>
        <w:tabs>
          <w:tab w:val="left" w:pos="720"/>
          <w:tab w:val="right" w:pos="9067"/>
        </w:tabs>
        <w:ind w:right="-1"/>
        <w:contextualSpacing/>
        <w:jc w:val="both"/>
        <w:rPr>
          <w:rFonts w:ascii="Titillium" w:eastAsia="Arial" w:hAnsi="Titillium"/>
          <w:sz w:val="22"/>
          <w:szCs w:val="22"/>
        </w:rPr>
      </w:pPr>
      <w:r w:rsidRPr="0021769A">
        <w:rPr>
          <w:rFonts w:ascii="Titillium" w:eastAsia="Arial" w:hAnsi="Titillium"/>
          <w:sz w:val="22"/>
          <w:szCs w:val="22"/>
        </w:rPr>
        <w:t xml:space="preserve">L’accompagnement </w:t>
      </w:r>
      <w:r>
        <w:rPr>
          <w:rFonts w:ascii="Titillium" w:eastAsia="Arial" w:hAnsi="Titillium"/>
          <w:sz w:val="22"/>
          <w:szCs w:val="22"/>
        </w:rPr>
        <w:t xml:space="preserve">spécifique au </w:t>
      </w:r>
      <w:r w:rsidRPr="0021769A">
        <w:rPr>
          <w:rFonts w:ascii="Titillium" w:eastAsia="Arial" w:hAnsi="Titillium"/>
          <w:sz w:val="22"/>
          <w:szCs w:val="22"/>
        </w:rPr>
        <w:t>décret tertiaire,</w:t>
      </w:r>
    </w:p>
    <w:p w14:paraId="08D78A25" w14:textId="77777777" w:rsidR="00461C77" w:rsidRPr="00795A44" w:rsidRDefault="00461C77" w:rsidP="00461C77">
      <w:pPr>
        <w:pStyle w:val="Paragraphedeliste"/>
        <w:numPr>
          <w:ilvl w:val="0"/>
          <w:numId w:val="2"/>
        </w:numPr>
        <w:tabs>
          <w:tab w:val="left" w:pos="720"/>
          <w:tab w:val="right" w:pos="9067"/>
        </w:tabs>
        <w:ind w:right="-1"/>
        <w:contextualSpacing/>
        <w:jc w:val="both"/>
        <w:rPr>
          <w:rFonts w:ascii="Titillium" w:eastAsia="Arial" w:hAnsi="Titillium"/>
          <w:sz w:val="22"/>
          <w:szCs w:val="22"/>
        </w:rPr>
      </w:pPr>
      <w:r w:rsidRPr="00795A44">
        <w:rPr>
          <w:rFonts w:ascii="Titillium" w:eastAsia="Arial" w:hAnsi="Titillium"/>
          <w:sz w:val="22"/>
          <w:szCs w:val="22"/>
        </w:rPr>
        <w:t>L</w:t>
      </w:r>
      <w:r>
        <w:rPr>
          <w:rFonts w:ascii="Titillium" w:eastAsia="Arial" w:hAnsi="Titillium"/>
          <w:sz w:val="22"/>
          <w:szCs w:val="22"/>
        </w:rPr>
        <w:t>’accompagnement au</w:t>
      </w:r>
      <w:r w:rsidRPr="00795A44">
        <w:rPr>
          <w:rFonts w:ascii="Titillium" w:eastAsia="Arial" w:hAnsi="Titillium"/>
          <w:sz w:val="22"/>
          <w:szCs w:val="22"/>
        </w:rPr>
        <w:t xml:space="preserve"> développement des ENR thermiques ou électriques,</w:t>
      </w:r>
    </w:p>
    <w:p w14:paraId="4FDB6D81" w14:textId="77777777" w:rsidR="00461C77" w:rsidRPr="0021769A" w:rsidRDefault="00461C77" w:rsidP="00461C77">
      <w:pPr>
        <w:pStyle w:val="Paragraphedeliste"/>
        <w:numPr>
          <w:ilvl w:val="0"/>
          <w:numId w:val="2"/>
        </w:numPr>
        <w:tabs>
          <w:tab w:val="left" w:pos="720"/>
          <w:tab w:val="right" w:pos="9067"/>
        </w:tabs>
        <w:ind w:right="-1"/>
        <w:contextualSpacing/>
        <w:jc w:val="both"/>
        <w:rPr>
          <w:rFonts w:ascii="Titillium" w:eastAsia="Arial" w:hAnsi="Titillium"/>
          <w:sz w:val="22"/>
          <w:szCs w:val="22"/>
        </w:rPr>
      </w:pPr>
      <w:r w:rsidRPr="0021769A">
        <w:rPr>
          <w:rFonts w:ascii="Titillium" w:eastAsia="Arial" w:hAnsi="Titillium"/>
          <w:sz w:val="22"/>
          <w:szCs w:val="22"/>
        </w:rPr>
        <w:t>L</w:t>
      </w:r>
      <w:r>
        <w:rPr>
          <w:rFonts w:ascii="Titillium" w:eastAsia="Arial" w:hAnsi="Titillium"/>
          <w:sz w:val="22"/>
          <w:szCs w:val="22"/>
        </w:rPr>
        <w:t>’accompagnement au suivi de la</w:t>
      </w:r>
      <w:r w:rsidRPr="0021769A">
        <w:rPr>
          <w:rFonts w:ascii="Titillium" w:eastAsia="Arial" w:hAnsi="Titillium"/>
          <w:sz w:val="22"/>
          <w:szCs w:val="22"/>
        </w:rPr>
        <w:t xml:space="preserve"> qualité de l’air intérieur</w:t>
      </w:r>
      <w:r>
        <w:rPr>
          <w:rFonts w:ascii="Titillium" w:eastAsia="Arial" w:hAnsi="Titillium"/>
          <w:sz w:val="22"/>
          <w:szCs w:val="22"/>
        </w:rPr>
        <w:t>,</w:t>
      </w:r>
    </w:p>
    <w:p w14:paraId="3004D351" w14:textId="77777777" w:rsidR="00461C77" w:rsidRPr="0021769A" w:rsidRDefault="00461C77" w:rsidP="00461C77">
      <w:pPr>
        <w:pStyle w:val="Paragraphedeliste"/>
        <w:numPr>
          <w:ilvl w:val="0"/>
          <w:numId w:val="2"/>
        </w:numPr>
        <w:tabs>
          <w:tab w:val="left" w:pos="720"/>
          <w:tab w:val="right" w:pos="9067"/>
        </w:tabs>
        <w:ind w:right="-1"/>
        <w:contextualSpacing/>
        <w:jc w:val="both"/>
        <w:rPr>
          <w:rFonts w:ascii="Titillium" w:eastAsia="Arial" w:hAnsi="Titillium"/>
          <w:sz w:val="22"/>
          <w:szCs w:val="22"/>
        </w:rPr>
      </w:pPr>
      <w:r>
        <w:rPr>
          <w:rFonts w:ascii="Titillium" w:eastAsia="Arial" w:hAnsi="Titillium"/>
          <w:sz w:val="22"/>
          <w:szCs w:val="22"/>
        </w:rPr>
        <w:t xml:space="preserve">La réalisation d’images </w:t>
      </w:r>
      <w:r w:rsidRPr="0021769A">
        <w:rPr>
          <w:rFonts w:ascii="Titillium" w:eastAsia="Arial" w:hAnsi="Titillium"/>
          <w:sz w:val="22"/>
          <w:szCs w:val="22"/>
        </w:rPr>
        <w:t>thermique</w:t>
      </w:r>
      <w:r>
        <w:rPr>
          <w:rFonts w:ascii="Titillium" w:eastAsia="Arial" w:hAnsi="Titillium"/>
          <w:sz w:val="22"/>
          <w:szCs w:val="22"/>
        </w:rPr>
        <w:t>s par caméra et par drone.</w:t>
      </w:r>
    </w:p>
    <w:p w14:paraId="442BA204" w14:textId="77777777" w:rsidR="00461C77" w:rsidRDefault="00461C77" w:rsidP="00461C77">
      <w:pPr>
        <w:overflowPunct w:val="0"/>
        <w:autoSpaceDE w:val="0"/>
        <w:autoSpaceDN w:val="0"/>
        <w:adjustRightInd w:val="0"/>
        <w:ind w:firstLine="851"/>
        <w:jc w:val="both"/>
        <w:textAlignment w:val="baseline"/>
        <w:rPr>
          <w:rFonts w:ascii="Titillium" w:hAnsi="Titillium" w:cs="Arial"/>
        </w:rPr>
      </w:pPr>
    </w:p>
    <w:p w14:paraId="58F35A41" w14:textId="77777777" w:rsidR="00461C77" w:rsidRDefault="00461C77" w:rsidP="00461C77">
      <w:pPr>
        <w:overflowPunct w:val="0"/>
        <w:autoSpaceDE w:val="0"/>
        <w:autoSpaceDN w:val="0"/>
        <w:adjustRightInd w:val="0"/>
        <w:jc w:val="both"/>
        <w:textAlignment w:val="baseline"/>
        <w:rPr>
          <w:rFonts w:ascii="Titillium" w:hAnsi="Titillium" w:cs="Arial"/>
        </w:rPr>
      </w:pPr>
      <w:r>
        <w:rPr>
          <w:rFonts w:ascii="Titillium" w:hAnsi="Titillium" w:cs="Arial"/>
        </w:rPr>
        <w:t>Certaines de ces actions seront réalisées par du personnel de TE 47. D’autres pourront s’appuyer sur des marchés publics lancés par TE 47, avec l’accompagnement du personnel de TE 47.</w:t>
      </w:r>
    </w:p>
    <w:p w14:paraId="0ADA518C" w14:textId="77777777" w:rsidR="00461C77" w:rsidRPr="00407C86" w:rsidRDefault="00461C77" w:rsidP="00461C77">
      <w:pPr>
        <w:overflowPunct w:val="0"/>
        <w:autoSpaceDE w:val="0"/>
        <w:autoSpaceDN w:val="0"/>
        <w:adjustRightInd w:val="0"/>
        <w:jc w:val="both"/>
        <w:textAlignment w:val="baseline"/>
        <w:rPr>
          <w:rFonts w:ascii="Titillium" w:eastAsia="Times New Roman" w:hAnsi="Titillium" w:cs="Times New Roman"/>
        </w:rPr>
      </w:pPr>
      <w:r w:rsidRPr="00E951DE">
        <w:rPr>
          <w:rFonts w:ascii="Titillium" w:eastAsia="Times New Roman" w:hAnsi="Titillium" w:cs="Times New Roman"/>
        </w:rPr>
        <w:t xml:space="preserve">La liste de ces outils détaillés en Annexe 1 pourra évoluer dans le temps avec l’apparition de nouveaux besoins et de nouvelles actions issues de la conclusion de nouveaux marchés publics lancés par TE 47 </w:t>
      </w:r>
      <w:r w:rsidRPr="00E951DE">
        <w:rPr>
          <w:rFonts w:ascii="Titillium" w:eastAsia="Times New Roman" w:hAnsi="Titillium" w:cs="Times New Roman"/>
        </w:rPr>
        <w:lastRenderedPageBreak/>
        <w:t>ou de la capacité de ses pôles d’activité en interne, pour le déploiement de missions pour l’efficacité énergétique et le développement des énergies renouvelables.</w:t>
      </w:r>
    </w:p>
    <w:p w14:paraId="74772AD8" w14:textId="77777777" w:rsidR="00461C77" w:rsidRDefault="00461C77" w:rsidP="00461C77">
      <w:pPr>
        <w:overflowPunct w:val="0"/>
        <w:autoSpaceDE w:val="0"/>
        <w:autoSpaceDN w:val="0"/>
        <w:adjustRightInd w:val="0"/>
        <w:jc w:val="both"/>
        <w:textAlignment w:val="baseline"/>
        <w:rPr>
          <w:rFonts w:ascii="Titillium" w:eastAsia="Times New Roman" w:hAnsi="Titillium" w:cs="Times New Roman"/>
        </w:rPr>
      </w:pPr>
      <w:r w:rsidRPr="00E951DE">
        <w:rPr>
          <w:rFonts w:ascii="Titillium" w:eastAsia="Times New Roman" w:hAnsi="Titillium" w:cs="Times New Roman"/>
        </w:rPr>
        <w:t>Toute nouvelle action mise en place par TE 47, qu’elle soit réalisée en interne ou acquise au travers de marchés publics (réalisées en externe), pourra profiter à la Commune suite à la modification des Annexes 1 et 2.</w:t>
      </w:r>
    </w:p>
    <w:p w14:paraId="1AB38925" w14:textId="77777777" w:rsidR="00461C77" w:rsidRDefault="00461C77" w:rsidP="00461C77">
      <w:pPr>
        <w:overflowPunct w:val="0"/>
        <w:autoSpaceDE w:val="0"/>
        <w:autoSpaceDN w:val="0"/>
        <w:adjustRightInd w:val="0"/>
        <w:jc w:val="both"/>
        <w:textAlignment w:val="baseline"/>
        <w:rPr>
          <w:rFonts w:ascii="Titillium" w:eastAsia="Times New Roman" w:hAnsi="Titillium" w:cs="Times New Roman"/>
        </w:rPr>
      </w:pPr>
    </w:p>
    <w:p w14:paraId="74A120D6" w14:textId="77777777" w:rsidR="00461C77" w:rsidRPr="001E1293" w:rsidRDefault="00461C77" w:rsidP="00461C77">
      <w:pPr>
        <w:jc w:val="both"/>
        <w:rPr>
          <w:rFonts w:ascii="Titillium" w:hAnsi="Titillium"/>
        </w:rPr>
      </w:pPr>
      <w:r w:rsidRPr="001E1293">
        <w:rPr>
          <w:rFonts w:ascii="Titillium" w:hAnsi="Titillium"/>
        </w:rPr>
        <w:t>L’adhésion à la convention est gratuite pour la Commune et lui permet immédiatement de valoriser financièrement certains de ces travaux d’économies d’énergie grâce au dispositif des Certificats d’Economies d’Energie (CEE).</w:t>
      </w:r>
    </w:p>
    <w:p w14:paraId="6475AE1F" w14:textId="77777777" w:rsidR="00461C77" w:rsidRPr="001E1293" w:rsidRDefault="00461C77" w:rsidP="00461C77">
      <w:pPr>
        <w:overflowPunct w:val="0"/>
        <w:autoSpaceDE w:val="0"/>
        <w:autoSpaceDN w:val="0"/>
        <w:adjustRightInd w:val="0"/>
        <w:jc w:val="both"/>
        <w:textAlignment w:val="baseline"/>
        <w:rPr>
          <w:rFonts w:ascii="Titillium" w:eastAsia="Times New Roman" w:hAnsi="Titillium" w:cs="Times New Roman"/>
        </w:rPr>
      </w:pPr>
    </w:p>
    <w:p w14:paraId="11A5C92F" w14:textId="77777777" w:rsidR="00461C77" w:rsidRPr="001E1293" w:rsidRDefault="00461C77" w:rsidP="00461C77">
      <w:pPr>
        <w:overflowPunct w:val="0"/>
        <w:autoSpaceDE w:val="0"/>
        <w:autoSpaceDN w:val="0"/>
        <w:adjustRightInd w:val="0"/>
        <w:jc w:val="both"/>
        <w:textAlignment w:val="baseline"/>
        <w:rPr>
          <w:rFonts w:ascii="Titillium" w:eastAsia="Times New Roman" w:hAnsi="Titillium" w:cs="Times New Roman"/>
        </w:rPr>
      </w:pPr>
      <w:r w:rsidRPr="001E1293">
        <w:rPr>
          <w:rFonts w:ascii="Titillium" w:eastAsia="Times New Roman" w:hAnsi="Titillium" w:cs="Times New Roman"/>
        </w:rPr>
        <w:t>A la survenance d’un besoin, la Commune qui aura signé la convention sollicitera TE 47 par une demande écrite décrivant l’action souhaitée, accompagnée de l’ensemble des informations nécessaires à l’évaluation de la mission à remplir.</w:t>
      </w:r>
    </w:p>
    <w:p w14:paraId="2023D576" w14:textId="77777777" w:rsidR="00461C77" w:rsidRPr="001E1293" w:rsidRDefault="00461C77" w:rsidP="00461C77">
      <w:pPr>
        <w:overflowPunct w:val="0"/>
        <w:autoSpaceDE w:val="0"/>
        <w:autoSpaceDN w:val="0"/>
        <w:adjustRightInd w:val="0"/>
        <w:jc w:val="both"/>
        <w:textAlignment w:val="baseline"/>
        <w:rPr>
          <w:rFonts w:ascii="Titillium" w:eastAsia="Times New Roman" w:hAnsi="Titillium" w:cs="Times New Roman"/>
        </w:rPr>
      </w:pPr>
      <w:r w:rsidRPr="001E1293">
        <w:rPr>
          <w:rFonts w:ascii="Titillium" w:eastAsia="Times New Roman" w:hAnsi="Titillium" w:cs="Times New Roman"/>
        </w:rPr>
        <w:t xml:space="preserve">TE 47 chiffrera le coût de la ou des mission(s) à la vue des conditions financières annexées à la convention et cadrées par les divers marchés conclus. </w:t>
      </w:r>
    </w:p>
    <w:p w14:paraId="19C0CAFD" w14:textId="77777777" w:rsidR="00461C77" w:rsidRPr="001E1293" w:rsidRDefault="00461C77" w:rsidP="00461C77">
      <w:pPr>
        <w:overflowPunct w:val="0"/>
        <w:autoSpaceDE w:val="0"/>
        <w:autoSpaceDN w:val="0"/>
        <w:adjustRightInd w:val="0"/>
        <w:jc w:val="both"/>
        <w:textAlignment w:val="baseline"/>
        <w:rPr>
          <w:rFonts w:ascii="Titillium" w:eastAsia="Times New Roman" w:hAnsi="Titillium" w:cs="Times New Roman"/>
        </w:rPr>
      </w:pPr>
      <w:r w:rsidRPr="001E1293">
        <w:rPr>
          <w:rFonts w:ascii="Titillium" w:eastAsia="Times New Roman" w:hAnsi="Titillium" w:cs="Times New Roman"/>
        </w:rPr>
        <w:t>Si TE 47 bénéficie d’un programme d’aide avec un partenaire financier (ADEME, REGION, FNCCR, etc…) pour le ou les prestation(s) commandée(s), la Commune en sera informée et une minoration du coût chiffré sera directement appliquée à la facturation.</w:t>
      </w:r>
    </w:p>
    <w:p w14:paraId="14380B74" w14:textId="77777777" w:rsidR="00461C77" w:rsidRPr="001E1293" w:rsidRDefault="00461C77" w:rsidP="00461C77">
      <w:pPr>
        <w:spacing w:after="0"/>
        <w:jc w:val="both"/>
        <w:rPr>
          <w:rFonts w:ascii="Titillium" w:eastAsia="Arial" w:hAnsi="Titillium"/>
        </w:rPr>
      </w:pPr>
    </w:p>
    <w:p w14:paraId="451C15D1" w14:textId="77777777" w:rsidR="00461C77" w:rsidRPr="001E1293" w:rsidRDefault="00461C77" w:rsidP="00461C77">
      <w:pPr>
        <w:jc w:val="both"/>
        <w:rPr>
          <w:rFonts w:ascii="Titillium" w:hAnsi="Titillium" w:cs="Arial"/>
        </w:rPr>
      </w:pPr>
      <w:r w:rsidRPr="001E1293">
        <w:rPr>
          <w:rFonts w:ascii="Titillium" w:hAnsi="Titillium" w:cs="Arial"/>
        </w:rPr>
        <w:t xml:space="preserve">En fonction des éléments transmis et des éventuelles réunions permettant de définir l’étendue et les limites des actions attendues, TE 47 enverra une proposition financière à la </w:t>
      </w:r>
      <w:r w:rsidRPr="001E1293">
        <w:rPr>
          <w:rFonts w:ascii="Titillium" w:hAnsi="Titillium" w:cs="Arial"/>
          <w:bCs/>
        </w:rPr>
        <w:t>Commune</w:t>
      </w:r>
      <w:r w:rsidRPr="001E1293">
        <w:rPr>
          <w:rFonts w:ascii="Titillium" w:hAnsi="Titillium" w:cs="Arial"/>
        </w:rPr>
        <w:t xml:space="preserve"> sur la base des montants établis en Annexe</w:t>
      </w:r>
      <w:r w:rsidRPr="001E1293">
        <w:rPr>
          <w:rFonts w:ascii="Calibri" w:hAnsi="Calibri" w:cs="Calibri"/>
        </w:rPr>
        <w:t> </w:t>
      </w:r>
      <w:r w:rsidRPr="001E1293">
        <w:rPr>
          <w:rFonts w:ascii="Titillium" w:hAnsi="Titillium" w:cs="Arial"/>
        </w:rPr>
        <w:t>2.</w:t>
      </w:r>
    </w:p>
    <w:p w14:paraId="617DC100" w14:textId="77777777" w:rsidR="00461C77" w:rsidRPr="001E1293" w:rsidRDefault="00461C77" w:rsidP="00461C77">
      <w:pPr>
        <w:jc w:val="both"/>
        <w:rPr>
          <w:rFonts w:ascii="Titillium" w:hAnsi="Titillium" w:cs="Arial"/>
        </w:rPr>
      </w:pPr>
    </w:p>
    <w:p w14:paraId="3062012E" w14:textId="3ED2E49E" w:rsidR="00461C77" w:rsidRDefault="00461C77" w:rsidP="00461C77">
      <w:pPr>
        <w:jc w:val="both"/>
        <w:rPr>
          <w:rFonts w:ascii="Titillium" w:hAnsi="Titillium" w:cs="Arial"/>
        </w:rPr>
      </w:pPr>
      <w:r w:rsidRPr="001E1293">
        <w:rPr>
          <w:rFonts w:ascii="Titillium" w:hAnsi="Titillium" w:cs="Arial"/>
        </w:rPr>
        <w:t xml:space="preserve">Chaque action ne débutera qu’après acceptation par la </w:t>
      </w:r>
      <w:r w:rsidRPr="001E1293">
        <w:rPr>
          <w:rFonts w:ascii="Titillium" w:hAnsi="Titillium" w:cs="Arial"/>
          <w:bCs/>
        </w:rPr>
        <w:t>Commune</w:t>
      </w:r>
      <w:r w:rsidRPr="001E1293">
        <w:rPr>
          <w:rFonts w:ascii="Titillium" w:hAnsi="Titillium" w:cs="Arial"/>
        </w:rPr>
        <w:t xml:space="preserve"> de la ou des propositions financières de TE 47.</w:t>
      </w:r>
    </w:p>
    <w:p w14:paraId="0F97E869" w14:textId="77777777" w:rsidR="00380216" w:rsidRPr="00372560" w:rsidRDefault="00380216" w:rsidP="00315DE0">
      <w:pPr>
        <w:jc w:val="both"/>
        <w:rPr>
          <w:rFonts w:ascii="Titillium" w:hAnsi="Titillium" w:cs="Arial"/>
        </w:rPr>
      </w:pPr>
      <w:r w:rsidRPr="00372560">
        <w:rPr>
          <w:rFonts w:ascii="Titillium" w:hAnsi="Titillium" w:cs="Arial"/>
        </w:rPr>
        <w:t>Pour chacune des actions décrites dans la présente annexe, les montants sont indiqués en Hors Taxe et seront soumis à la TVA, quelle que soit l'exécutant de cette prestation.</w:t>
      </w:r>
    </w:p>
    <w:p w14:paraId="0C6888E7" w14:textId="6A862A31" w:rsidR="00380216" w:rsidRDefault="00380216" w:rsidP="00315DE0">
      <w:pPr>
        <w:ind w:right="-1"/>
        <w:jc w:val="both"/>
        <w:rPr>
          <w:rFonts w:eastAsia="Arial"/>
        </w:rPr>
      </w:pPr>
      <w:r w:rsidRPr="00372560">
        <w:rPr>
          <w:rFonts w:ascii="Titillium" w:hAnsi="Titillium" w:cs="Arial"/>
        </w:rPr>
        <w:t>Pour les actions réalisées par des acteurs externes, TE</w:t>
      </w:r>
      <w:r w:rsidRPr="00372560">
        <w:rPr>
          <w:rFonts w:ascii="Calibri" w:hAnsi="Calibri" w:cs="Calibri"/>
        </w:rPr>
        <w:t> </w:t>
      </w:r>
      <w:r w:rsidRPr="00372560">
        <w:rPr>
          <w:rFonts w:ascii="Titillium" w:hAnsi="Titillium" w:cs="Arial"/>
        </w:rPr>
        <w:t>47 percevra des frais de gestion à raison de 4 % du coût HT ce qui, une fois la TVA appliquée, donnera un montant TTC égal à 4% du BET TTC, pour couvrir les frais de suivi technique, administratif et financier des opérations</w:t>
      </w:r>
      <w:r w:rsidRPr="00372560">
        <w:rPr>
          <w:rFonts w:eastAsia="Arial"/>
        </w:rPr>
        <w:t>.</w:t>
      </w:r>
    </w:p>
    <w:p w14:paraId="3AD415EE" w14:textId="77777777" w:rsidR="00461C77" w:rsidRPr="001E1293" w:rsidRDefault="00461C77" w:rsidP="00461C77">
      <w:pPr>
        <w:spacing w:after="0"/>
        <w:jc w:val="both"/>
        <w:rPr>
          <w:rFonts w:ascii="Titillium" w:eastAsia="Arial" w:hAnsi="Titillium"/>
        </w:rPr>
      </w:pPr>
    </w:p>
    <w:p w14:paraId="1F4741C9" w14:textId="77777777" w:rsidR="00461C77" w:rsidRPr="001E1293" w:rsidRDefault="00461C77" w:rsidP="00461C77">
      <w:pPr>
        <w:overflowPunct w:val="0"/>
        <w:autoSpaceDE w:val="0"/>
        <w:autoSpaceDN w:val="0"/>
        <w:adjustRightInd w:val="0"/>
        <w:jc w:val="both"/>
        <w:textAlignment w:val="baseline"/>
        <w:rPr>
          <w:rFonts w:ascii="Titillium" w:eastAsia="Times New Roman" w:hAnsi="Titillium" w:cs="Times New Roman"/>
        </w:rPr>
      </w:pPr>
      <w:r w:rsidRPr="001E1293">
        <w:rPr>
          <w:rFonts w:ascii="Titillium" w:eastAsia="Times New Roman" w:hAnsi="Titillium" w:cs="Times New Roman"/>
        </w:rPr>
        <w:lastRenderedPageBreak/>
        <w:t xml:space="preserve">Ces coûts de prestations seront revus et corrigés à chaque reconduction de marchés et à chaque nouvelle passation de marchés passé par TE 47 ou mis en œuvre dans le cadre de groupements de commandes </w:t>
      </w:r>
    </w:p>
    <w:p w14:paraId="0BB36E4D" w14:textId="77777777" w:rsidR="00461C77" w:rsidRPr="009C4433" w:rsidRDefault="00461C77" w:rsidP="00461C77">
      <w:pPr>
        <w:overflowPunct w:val="0"/>
        <w:autoSpaceDE w:val="0"/>
        <w:autoSpaceDN w:val="0"/>
        <w:adjustRightInd w:val="0"/>
        <w:jc w:val="both"/>
        <w:textAlignment w:val="baseline"/>
        <w:rPr>
          <w:rFonts w:ascii="Titillium" w:eastAsia="Times New Roman" w:hAnsi="Titillium" w:cs="Times New Roman"/>
        </w:rPr>
      </w:pPr>
      <w:r w:rsidRPr="00407C86">
        <w:rPr>
          <w:rFonts w:ascii="Titillium" w:eastAsia="Times New Roman" w:hAnsi="Titillium" w:cs="Times New Roman"/>
        </w:rPr>
        <w:t xml:space="preserve">La convention proposée entrera en vigueur à compter de la date de sa signature et aura une durée de </w:t>
      </w:r>
      <w:r>
        <w:rPr>
          <w:rFonts w:ascii="Titillium" w:eastAsia="Times New Roman" w:hAnsi="Titillium" w:cs="Times New Roman"/>
        </w:rPr>
        <w:t>deux</w:t>
      </w:r>
      <w:r w:rsidRPr="00407C86">
        <w:rPr>
          <w:rFonts w:ascii="Titillium" w:eastAsia="Times New Roman" w:hAnsi="Titillium" w:cs="Times New Roman"/>
        </w:rPr>
        <w:t xml:space="preserve"> ans reconductibles </w:t>
      </w:r>
      <w:r>
        <w:rPr>
          <w:rFonts w:ascii="Titillium" w:eastAsia="Times New Roman" w:hAnsi="Titillium" w:cs="Times New Roman"/>
        </w:rPr>
        <w:t>deux</w:t>
      </w:r>
      <w:r w:rsidRPr="009C4433">
        <w:rPr>
          <w:rFonts w:ascii="Titillium" w:eastAsia="Times New Roman" w:hAnsi="Titillium" w:cs="Times New Roman"/>
        </w:rPr>
        <w:t xml:space="preserve"> fois.</w:t>
      </w:r>
    </w:p>
    <w:p w14:paraId="7D9B2EE0" w14:textId="77777777" w:rsidR="00461C77" w:rsidRPr="001E4614" w:rsidRDefault="00461C77" w:rsidP="00461C77">
      <w:pPr>
        <w:spacing w:after="0"/>
        <w:jc w:val="both"/>
        <w:rPr>
          <w:rFonts w:ascii="Titillium" w:hAnsi="Titillium" w:cs="Arial"/>
        </w:rPr>
      </w:pPr>
    </w:p>
    <w:p w14:paraId="45623C57" w14:textId="23E370DC" w:rsidR="00461C77" w:rsidRDefault="00461C77" w:rsidP="00461C77">
      <w:pPr>
        <w:spacing w:after="0"/>
        <w:jc w:val="both"/>
        <w:rPr>
          <w:rFonts w:ascii="Titillium" w:hAnsi="Titillium" w:cs="Arial"/>
        </w:rPr>
      </w:pPr>
      <w:r w:rsidRPr="001E4614">
        <w:rPr>
          <w:rFonts w:ascii="Titillium" w:hAnsi="Titillium" w:cs="Arial"/>
        </w:rPr>
        <w:t xml:space="preserve">Après avoir entendu l’exposé de </w:t>
      </w:r>
      <w:r w:rsidRPr="00DB211D">
        <w:rPr>
          <w:rFonts w:ascii="Titillium" w:hAnsi="Titillium" w:cs="Arial"/>
          <w:highlight w:val="yellow"/>
        </w:rPr>
        <w:t>M. (ou Mme)</w:t>
      </w:r>
      <w:r w:rsidRPr="001E4614">
        <w:rPr>
          <w:rFonts w:ascii="Titillium" w:hAnsi="Titillium" w:cs="Arial"/>
        </w:rPr>
        <w:t xml:space="preserve"> le Maire, justifiant l’intérêt d’adhérer </w:t>
      </w:r>
      <w:r>
        <w:rPr>
          <w:rFonts w:ascii="Titillium" w:hAnsi="Titillium" w:cs="Arial"/>
        </w:rPr>
        <w:t>à l</w:t>
      </w:r>
      <w:r w:rsidRPr="00FA26DD">
        <w:rPr>
          <w:rFonts w:ascii="Titillium" w:hAnsi="Titillium" w:cs="Arial"/>
        </w:rPr>
        <w:t xml:space="preserve">’accompagnement à la transition énergétique </w:t>
      </w:r>
      <w:r w:rsidRPr="001E4614">
        <w:rPr>
          <w:rFonts w:ascii="Titillium" w:hAnsi="Titillium" w:cs="Arial"/>
        </w:rPr>
        <w:t>proposé par Territoire d’énergie Lot-et-Garonne (TE 47)</w:t>
      </w:r>
      <w:r>
        <w:rPr>
          <w:rFonts w:ascii="Titillium" w:hAnsi="Titillium" w:cs="Arial"/>
        </w:rPr>
        <w:t>,</w:t>
      </w:r>
      <w:r w:rsidRPr="001E4614">
        <w:rPr>
          <w:rFonts w:ascii="Titillium" w:hAnsi="Titillium" w:cs="Arial"/>
        </w:rPr>
        <w:t xml:space="preserve"> selon les modalités décrites dans la convention et ses annexes, telles </w:t>
      </w:r>
      <w:r>
        <w:rPr>
          <w:rFonts w:ascii="Titillium" w:hAnsi="Titillium" w:cs="Arial"/>
        </w:rPr>
        <w:t>que fixées</w:t>
      </w:r>
      <w:r w:rsidRPr="001E4614">
        <w:rPr>
          <w:rFonts w:ascii="Titillium" w:hAnsi="Titillium" w:cs="Arial"/>
        </w:rPr>
        <w:t xml:space="preserve"> par délibération </w:t>
      </w:r>
      <w:r>
        <w:rPr>
          <w:rFonts w:ascii="Titillium" w:hAnsi="Titillium" w:cs="Arial"/>
        </w:rPr>
        <w:t>du Comité Syndical</w:t>
      </w:r>
      <w:r w:rsidRPr="001E4614">
        <w:rPr>
          <w:rFonts w:ascii="Titillium" w:hAnsi="Titillium" w:cs="Arial"/>
        </w:rPr>
        <w:t xml:space="preserve"> de TE</w:t>
      </w:r>
      <w:r>
        <w:rPr>
          <w:rFonts w:ascii="Calibri" w:hAnsi="Calibri" w:cs="Calibri"/>
        </w:rPr>
        <w:t> </w:t>
      </w:r>
      <w:r w:rsidRPr="001E4614">
        <w:rPr>
          <w:rFonts w:ascii="Titillium" w:hAnsi="Titillium" w:cs="Arial"/>
        </w:rPr>
        <w:t xml:space="preserve">47 en date du </w:t>
      </w:r>
      <w:r w:rsidR="00315DE0">
        <w:rPr>
          <w:rFonts w:ascii="Titillium" w:hAnsi="Titillium" w:cs="Arial"/>
        </w:rPr>
        <w:t>19 décembre 2022</w:t>
      </w:r>
      <w:r w:rsidRPr="001E4614">
        <w:rPr>
          <w:rFonts w:ascii="Titillium" w:hAnsi="Titillium" w:cs="Arial"/>
        </w:rPr>
        <w:t>,</w:t>
      </w:r>
    </w:p>
    <w:p w14:paraId="64B19DE9" w14:textId="77777777" w:rsidR="00461C77" w:rsidRPr="001E4614" w:rsidRDefault="00461C77" w:rsidP="00461C77">
      <w:pPr>
        <w:spacing w:after="0"/>
        <w:jc w:val="both"/>
        <w:rPr>
          <w:rFonts w:ascii="Titillium" w:hAnsi="Titillium" w:cs="Arial"/>
        </w:rPr>
      </w:pPr>
    </w:p>
    <w:p w14:paraId="0D03D85A" w14:textId="77777777" w:rsidR="00461C77" w:rsidRDefault="00461C77" w:rsidP="00461C77">
      <w:pPr>
        <w:jc w:val="both"/>
        <w:rPr>
          <w:rFonts w:ascii="Titillium" w:hAnsi="Titillium" w:cs="Arial"/>
        </w:rPr>
      </w:pPr>
      <w:r>
        <w:rPr>
          <w:rFonts w:ascii="Titillium" w:hAnsi="Titillium" w:cs="Arial"/>
        </w:rPr>
        <w:t xml:space="preserve">Il est proposé aux Membres du </w:t>
      </w:r>
      <w:r w:rsidRPr="001E4614">
        <w:rPr>
          <w:rFonts w:ascii="Titillium" w:hAnsi="Titillium" w:cs="Arial"/>
        </w:rPr>
        <w:t>Conseil Municipal</w:t>
      </w:r>
      <w:r>
        <w:rPr>
          <w:rFonts w:ascii="Courier New" w:hAnsi="Courier New" w:cs="Courier New"/>
        </w:rPr>
        <w:t> </w:t>
      </w:r>
      <w:r>
        <w:rPr>
          <w:rFonts w:ascii="Titillium" w:hAnsi="Titillium" w:cs="Arial"/>
        </w:rPr>
        <w:t xml:space="preserve">: </w:t>
      </w:r>
    </w:p>
    <w:p w14:paraId="678FACF7" w14:textId="06FF17DF" w:rsidR="00461C77" w:rsidRPr="00DB211D" w:rsidRDefault="00461C77" w:rsidP="00461C77">
      <w:pPr>
        <w:pStyle w:val="Paragraphedeliste"/>
        <w:numPr>
          <w:ilvl w:val="0"/>
          <w:numId w:val="1"/>
        </w:numPr>
        <w:jc w:val="both"/>
        <w:rPr>
          <w:rFonts w:ascii="Titillium" w:hAnsi="Titillium" w:cs="Arial"/>
          <w:sz w:val="22"/>
          <w:szCs w:val="22"/>
        </w:rPr>
      </w:pPr>
      <w:r w:rsidRPr="00DB211D">
        <w:rPr>
          <w:rFonts w:ascii="Titillium" w:hAnsi="Titillium" w:cs="Arial"/>
          <w:sz w:val="22"/>
          <w:szCs w:val="22"/>
        </w:rPr>
        <w:t xml:space="preserve">d’approuver l’adhésion de la Commune à l’accompagnement à la transition énergétique proposé par TE 47 à partir du </w:t>
      </w:r>
      <w:r w:rsidRPr="00DB211D">
        <w:rPr>
          <w:rFonts w:ascii="Titillium" w:hAnsi="Titillium" w:cs="Arial"/>
          <w:sz w:val="22"/>
          <w:szCs w:val="22"/>
          <w:highlight w:val="yellow"/>
        </w:rPr>
        <w:t>«</w:t>
      </w:r>
      <w:r w:rsidRPr="00DB211D">
        <w:rPr>
          <w:rFonts w:ascii="Calibri" w:hAnsi="Calibri" w:cs="Calibri"/>
          <w:sz w:val="22"/>
          <w:szCs w:val="22"/>
          <w:highlight w:val="yellow"/>
        </w:rPr>
        <w:t> </w:t>
      </w:r>
      <w:r w:rsidRPr="00DB211D">
        <w:rPr>
          <w:rFonts w:ascii="Titillium" w:hAnsi="Titillium" w:cs="Arial"/>
          <w:sz w:val="22"/>
          <w:szCs w:val="22"/>
          <w:highlight w:val="yellow"/>
        </w:rPr>
        <w:t>DATE</w:t>
      </w:r>
      <w:r w:rsidRPr="00DB211D">
        <w:rPr>
          <w:rFonts w:ascii="Calibri" w:hAnsi="Calibri" w:cs="Calibri"/>
          <w:sz w:val="22"/>
          <w:szCs w:val="22"/>
          <w:highlight w:val="yellow"/>
        </w:rPr>
        <w:t> </w:t>
      </w:r>
      <w:r w:rsidRPr="00DB211D">
        <w:rPr>
          <w:rFonts w:ascii="Titillium" w:hAnsi="Titillium" w:cs="Titillium"/>
          <w:sz w:val="22"/>
          <w:szCs w:val="22"/>
          <w:highlight w:val="yellow"/>
        </w:rPr>
        <w:t>»</w:t>
      </w:r>
      <w:r w:rsidRPr="00DB211D">
        <w:rPr>
          <w:rFonts w:ascii="Titillium" w:hAnsi="Titillium" w:cs="Arial"/>
          <w:sz w:val="22"/>
          <w:szCs w:val="22"/>
        </w:rPr>
        <w:t xml:space="preserve"> pour une durée de deux ans reconductible </w:t>
      </w:r>
      <w:r w:rsidR="00360E34">
        <w:rPr>
          <w:rFonts w:ascii="Titillium" w:hAnsi="Titillium" w:cs="Arial"/>
          <w:sz w:val="22"/>
          <w:szCs w:val="22"/>
        </w:rPr>
        <w:t>deux</w:t>
      </w:r>
      <w:r w:rsidRPr="00DB211D">
        <w:rPr>
          <w:rFonts w:ascii="Titillium" w:hAnsi="Titillium" w:cs="Arial"/>
          <w:sz w:val="22"/>
          <w:szCs w:val="22"/>
        </w:rPr>
        <w:t xml:space="preserve"> fois</w:t>
      </w:r>
      <w:r w:rsidRPr="00DB211D">
        <w:rPr>
          <w:rFonts w:ascii="Courier New" w:hAnsi="Courier New" w:cs="Courier New"/>
          <w:sz w:val="22"/>
          <w:szCs w:val="22"/>
        </w:rPr>
        <w:t> </w:t>
      </w:r>
      <w:r w:rsidRPr="00DB211D">
        <w:rPr>
          <w:rFonts w:ascii="Titillium" w:hAnsi="Titillium" w:cs="Arial"/>
          <w:sz w:val="22"/>
          <w:szCs w:val="22"/>
        </w:rPr>
        <w:t>;</w:t>
      </w:r>
    </w:p>
    <w:p w14:paraId="0DEB6962" w14:textId="77777777" w:rsidR="00461C77" w:rsidRDefault="00461C77" w:rsidP="00461C77">
      <w:pPr>
        <w:pStyle w:val="Paragraphedeliste"/>
        <w:ind w:left="720"/>
        <w:jc w:val="both"/>
        <w:rPr>
          <w:rFonts w:ascii="Titillium" w:hAnsi="Titillium" w:cs="Arial"/>
          <w:sz w:val="22"/>
          <w:szCs w:val="22"/>
        </w:rPr>
      </w:pPr>
    </w:p>
    <w:p w14:paraId="1B368C6D" w14:textId="77777777" w:rsidR="00461C77" w:rsidRPr="00DB211D" w:rsidRDefault="00461C77" w:rsidP="00461C77">
      <w:pPr>
        <w:pStyle w:val="Paragraphedeliste"/>
        <w:numPr>
          <w:ilvl w:val="0"/>
          <w:numId w:val="1"/>
        </w:numPr>
        <w:jc w:val="both"/>
        <w:rPr>
          <w:rFonts w:ascii="Titillium" w:hAnsi="Titillium" w:cs="Arial"/>
          <w:sz w:val="22"/>
          <w:szCs w:val="22"/>
        </w:rPr>
      </w:pPr>
      <w:r w:rsidRPr="00DB211D">
        <w:rPr>
          <w:rFonts w:ascii="Titillium" w:hAnsi="Titillium" w:cs="Arial"/>
          <w:sz w:val="22"/>
          <w:szCs w:val="22"/>
        </w:rPr>
        <w:t>de désigner un élu et un agent qui seront les interlocuteurs de TE 47 pour le suivi de l’exécution de la convention d’adhésion</w:t>
      </w:r>
      <w:r w:rsidRPr="00DB211D">
        <w:rPr>
          <w:rFonts w:ascii="Calibri" w:hAnsi="Calibri" w:cs="Calibri"/>
          <w:sz w:val="22"/>
          <w:szCs w:val="22"/>
        </w:rPr>
        <w:t> </w:t>
      </w:r>
      <w:r w:rsidRPr="00DB211D">
        <w:rPr>
          <w:rFonts w:ascii="Titillium" w:hAnsi="Titillium" w:cs="Arial"/>
          <w:sz w:val="22"/>
          <w:szCs w:val="22"/>
        </w:rPr>
        <w:t>;</w:t>
      </w:r>
    </w:p>
    <w:p w14:paraId="16B5F170" w14:textId="77777777" w:rsidR="00461C77" w:rsidRDefault="00461C77" w:rsidP="00461C77">
      <w:pPr>
        <w:pStyle w:val="Paragraphedeliste"/>
        <w:ind w:left="720"/>
        <w:jc w:val="both"/>
        <w:rPr>
          <w:rFonts w:ascii="Titillium" w:hAnsi="Titillium" w:cs="Arial"/>
          <w:sz w:val="22"/>
          <w:szCs w:val="22"/>
        </w:rPr>
      </w:pPr>
    </w:p>
    <w:p w14:paraId="5CFC263C" w14:textId="77777777" w:rsidR="00461C77" w:rsidRPr="00DB211D" w:rsidRDefault="00461C77" w:rsidP="00461C77">
      <w:pPr>
        <w:pStyle w:val="Paragraphedeliste"/>
        <w:numPr>
          <w:ilvl w:val="0"/>
          <w:numId w:val="1"/>
        </w:numPr>
        <w:jc w:val="both"/>
        <w:rPr>
          <w:rFonts w:ascii="Titillium" w:hAnsi="Titillium" w:cs="Arial"/>
          <w:sz w:val="22"/>
          <w:szCs w:val="22"/>
        </w:rPr>
      </w:pPr>
      <w:r w:rsidRPr="00DB211D">
        <w:rPr>
          <w:rFonts w:ascii="Titillium" w:hAnsi="Titillium" w:cs="Arial"/>
          <w:sz w:val="22"/>
          <w:szCs w:val="22"/>
        </w:rPr>
        <w:t xml:space="preserve">de donner pouvoir à </w:t>
      </w:r>
      <w:r w:rsidRPr="00DB211D">
        <w:rPr>
          <w:rFonts w:ascii="Titillium" w:hAnsi="Titillium" w:cs="Arial"/>
          <w:sz w:val="22"/>
          <w:szCs w:val="22"/>
          <w:highlight w:val="yellow"/>
        </w:rPr>
        <w:t>M. (ou Mme)</w:t>
      </w:r>
      <w:r w:rsidRPr="00DB211D">
        <w:rPr>
          <w:rFonts w:ascii="Titillium" w:hAnsi="Titillium" w:cs="Arial"/>
          <w:sz w:val="22"/>
          <w:szCs w:val="22"/>
        </w:rPr>
        <w:t xml:space="preserve"> le Maire pour la signature de ladite convention.</w:t>
      </w:r>
    </w:p>
    <w:p w14:paraId="5053AFC0" w14:textId="77777777" w:rsidR="00461C77" w:rsidRPr="005E7BF9" w:rsidRDefault="00461C77" w:rsidP="00461C77">
      <w:pPr>
        <w:jc w:val="both"/>
        <w:rPr>
          <w:rFonts w:ascii="Titillium" w:hAnsi="Titillium" w:cs="Arial"/>
        </w:rPr>
      </w:pPr>
    </w:p>
    <w:p w14:paraId="358A3E6E" w14:textId="77777777" w:rsidR="00461C77" w:rsidRPr="00C26767" w:rsidRDefault="00461C77" w:rsidP="00461C77">
      <w:pPr>
        <w:ind w:left="5580"/>
        <w:jc w:val="both"/>
      </w:pPr>
      <w:r w:rsidRPr="00591940">
        <w:rPr>
          <w:rFonts w:ascii="Titillium" w:hAnsi="Titillium"/>
        </w:rPr>
        <w:t>Fait et délibéré à …</w:t>
      </w:r>
      <w:r>
        <w:rPr>
          <w:rFonts w:ascii="Titillium" w:hAnsi="Titillium"/>
        </w:rPr>
        <w:t>….</w:t>
      </w:r>
      <w:r w:rsidRPr="00591940">
        <w:rPr>
          <w:rFonts w:ascii="Titillium" w:hAnsi="Titillium"/>
        </w:rPr>
        <w:t>……., le ………</w:t>
      </w:r>
      <w:r>
        <w:rPr>
          <w:rFonts w:ascii="Titillium" w:hAnsi="Titillium"/>
        </w:rPr>
        <w:t>……..</w:t>
      </w:r>
    </w:p>
    <w:p w14:paraId="1389C819" w14:textId="77777777" w:rsidR="00942E2D" w:rsidRDefault="00942E2D"/>
    <w:sectPr w:rsidR="00942E2D">
      <w:headerReference w:type="default" r:id="rId8"/>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B04EBE" w14:textId="77777777" w:rsidR="007472DA" w:rsidRDefault="00AA1115">
      <w:pPr>
        <w:spacing w:after="0" w:line="240" w:lineRule="auto"/>
      </w:pPr>
      <w:r>
        <w:separator/>
      </w:r>
    </w:p>
  </w:endnote>
  <w:endnote w:type="continuationSeparator" w:id="0">
    <w:p w14:paraId="0AE4B48B" w14:textId="77777777" w:rsidR="007472DA" w:rsidRDefault="00AA11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tillium">
    <w:panose1 w:val="00000500000000000000"/>
    <w:charset w:val="00"/>
    <w:family w:val="modern"/>
    <w:notTrueType/>
    <w:pitch w:val="variable"/>
    <w:sig w:usb0="00000007" w:usb1="00000001"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AE4165" w14:textId="77777777" w:rsidR="007472DA" w:rsidRDefault="00AA1115">
      <w:pPr>
        <w:spacing w:after="0" w:line="240" w:lineRule="auto"/>
      </w:pPr>
      <w:r>
        <w:separator/>
      </w:r>
    </w:p>
  </w:footnote>
  <w:footnote w:type="continuationSeparator" w:id="0">
    <w:p w14:paraId="1D78D173" w14:textId="77777777" w:rsidR="007472DA" w:rsidRDefault="00AA11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00A1A" w14:textId="77777777" w:rsidR="00C454E8" w:rsidRDefault="00461C77">
    <w:pPr>
      <w:pStyle w:val="En-tte"/>
    </w:pPr>
    <w:r>
      <w:rPr>
        <w:noProof/>
        <w:sz w:val="17"/>
        <w:lang w:eastAsia="fr-FR"/>
      </w:rPr>
      <mc:AlternateContent>
        <mc:Choice Requires="wps">
          <w:drawing>
            <wp:anchor distT="0" distB="0" distL="114300" distR="114300" simplePos="0" relativeHeight="251659264" behindDoc="0" locked="0" layoutInCell="1" allowOverlap="1" wp14:anchorId="082CAC33" wp14:editId="34D6E78F">
              <wp:simplePos x="0" y="0"/>
              <wp:positionH relativeFrom="column">
                <wp:posOffset>-819150</wp:posOffset>
              </wp:positionH>
              <wp:positionV relativeFrom="paragraph">
                <wp:posOffset>370840</wp:posOffset>
              </wp:positionV>
              <wp:extent cx="314325" cy="7077075"/>
              <wp:effectExtent l="0" t="0" r="9525" b="9525"/>
              <wp:wrapNone/>
              <wp:docPr id="9" name="Zone de texte 9"/>
              <wp:cNvGraphicFramePr/>
              <a:graphic xmlns:a="http://schemas.openxmlformats.org/drawingml/2006/main">
                <a:graphicData uri="http://schemas.microsoft.com/office/word/2010/wordprocessingShape">
                  <wps:wsp>
                    <wps:cNvSpPr txBox="1"/>
                    <wps:spPr>
                      <a:xfrm>
                        <a:off x="0" y="0"/>
                        <a:ext cx="314325" cy="70770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D9F5DD3" w14:textId="77777777" w:rsidR="00C454E8" w:rsidRPr="0039221C" w:rsidRDefault="00461C77" w:rsidP="00C454E8">
                          <w:pPr>
                            <w:rPr>
                              <w:rFonts w:ascii="Titillium" w:hAnsi="Titillium"/>
                              <w:i/>
                              <w:color w:val="A6A6A6" w:themeColor="background1" w:themeShade="A6"/>
                              <w:spacing w:val="20"/>
                              <w:sz w:val="16"/>
                              <w:szCs w:val="18"/>
                            </w:rPr>
                          </w:pPr>
                          <w:r w:rsidRPr="0039221C">
                            <w:rPr>
                              <w:rFonts w:ascii="Titillium" w:hAnsi="Titillium"/>
                              <w:i/>
                              <w:color w:val="A6A6A6" w:themeColor="background1" w:themeShade="A6"/>
                              <w:spacing w:val="20"/>
                              <w:sz w:val="16"/>
                              <w:szCs w:val="18"/>
                            </w:rPr>
                            <w:t>Ce document est également disponible sur le site internet de TE 47</w:t>
                          </w:r>
                          <w:r w:rsidRPr="0039221C">
                            <w:rPr>
                              <w:rFonts w:ascii="Calibri" w:hAnsi="Calibri" w:cs="Calibri"/>
                              <w:i/>
                              <w:color w:val="A6A6A6" w:themeColor="background1" w:themeShade="A6"/>
                              <w:spacing w:val="20"/>
                              <w:sz w:val="16"/>
                              <w:szCs w:val="18"/>
                            </w:rPr>
                            <w:t> </w:t>
                          </w:r>
                          <w:r w:rsidRPr="0039221C">
                            <w:rPr>
                              <w:rFonts w:ascii="Titillium" w:hAnsi="Titillium"/>
                              <w:i/>
                              <w:color w:val="A6A6A6" w:themeColor="background1" w:themeShade="A6"/>
                              <w:spacing w:val="20"/>
                              <w:sz w:val="16"/>
                              <w:szCs w:val="18"/>
                            </w:rPr>
                            <w:t xml:space="preserve">: </w:t>
                          </w:r>
                          <w:hyperlink r:id="rId1" w:history="1">
                            <w:r w:rsidRPr="0039221C">
                              <w:rPr>
                                <w:rStyle w:val="Lienhypertexte"/>
                                <w:rFonts w:ascii="Titillium" w:hAnsi="Titillium"/>
                                <w:b/>
                                <w:i/>
                                <w:color w:val="A6A6A6" w:themeColor="background1" w:themeShade="A6"/>
                                <w:spacing w:val="20"/>
                                <w:sz w:val="16"/>
                                <w:szCs w:val="18"/>
                              </w:rPr>
                              <w:t>www.te47.fr</w:t>
                            </w:r>
                          </w:hyperlink>
                          <w:r w:rsidRPr="0039221C">
                            <w:rPr>
                              <w:rFonts w:ascii="Titillium" w:hAnsi="Titillium"/>
                              <w:b/>
                              <w:i/>
                              <w:color w:val="A6A6A6" w:themeColor="background1" w:themeShade="A6"/>
                              <w:spacing w:val="20"/>
                              <w:sz w:val="16"/>
                              <w:szCs w:val="18"/>
                            </w:rPr>
                            <w:t xml:space="preserve">, </w:t>
                          </w:r>
                          <w:r w:rsidRPr="0039221C">
                            <w:rPr>
                              <w:rFonts w:ascii="Titillium" w:hAnsi="Titillium"/>
                              <w:i/>
                              <w:color w:val="A6A6A6" w:themeColor="background1" w:themeShade="A6"/>
                              <w:spacing w:val="20"/>
                              <w:sz w:val="16"/>
                              <w:szCs w:val="18"/>
                            </w:rPr>
                            <w:t>dans votre espace collectivité.</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2CAC33" id="_x0000_t202" coordsize="21600,21600" o:spt="202" path="m,l,21600r21600,l21600,xe">
              <v:stroke joinstyle="miter"/>
              <v:path gradientshapeok="t" o:connecttype="rect"/>
            </v:shapetype>
            <v:shape id="Zone de texte 9" o:spid="_x0000_s1027" type="#_x0000_t202" style="position:absolute;margin-left:-64.5pt;margin-top:29.2pt;width:24.75pt;height:55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" fillcolor="white [3201]" stroked="f" strokeweight=".5pt">
              <v:textbox style="layout-flow:vertical;mso-layout-flow-alt:bottom-to-top">
                <w:txbxContent>
                  <w:p w14:paraId="0D9F5DD3" w14:textId="77777777" w:rsidR="00C454E8" w:rsidRPr="0039221C" w:rsidRDefault="00461C77" w:rsidP="00C454E8">
                    <w:pPr>
                      <w:rPr>
                        <w:rFonts w:ascii="Titillium" w:hAnsi="Titillium"/>
                        <w:i/>
                        <w:color w:val="A6A6A6" w:themeColor="background1" w:themeShade="A6"/>
                        <w:spacing w:val="20"/>
                        <w:sz w:val="16"/>
                        <w:szCs w:val="18"/>
                      </w:rPr>
                    </w:pPr>
                    <w:r w:rsidRPr="0039221C">
                      <w:rPr>
                        <w:rFonts w:ascii="Titillium" w:hAnsi="Titillium"/>
                        <w:i/>
                        <w:color w:val="A6A6A6" w:themeColor="background1" w:themeShade="A6"/>
                        <w:spacing w:val="20"/>
                        <w:sz w:val="16"/>
                        <w:szCs w:val="18"/>
                      </w:rPr>
                      <w:t>Ce document est également disponible sur le site internet de TE 47</w:t>
                    </w:r>
                    <w:r w:rsidRPr="0039221C">
                      <w:rPr>
                        <w:rFonts w:ascii="Calibri" w:hAnsi="Calibri" w:cs="Calibri"/>
                        <w:i/>
                        <w:color w:val="A6A6A6" w:themeColor="background1" w:themeShade="A6"/>
                        <w:spacing w:val="20"/>
                        <w:sz w:val="16"/>
                        <w:szCs w:val="18"/>
                      </w:rPr>
                      <w:t> </w:t>
                    </w:r>
                    <w:r w:rsidRPr="0039221C">
                      <w:rPr>
                        <w:rFonts w:ascii="Titillium" w:hAnsi="Titillium"/>
                        <w:i/>
                        <w:color w:val="A6A6A6" w:themeColor="background1" w:themeShade="A6"/>
                        <w:spacing w:val="20"/>
                        <w:sz w:val="16"/>
                        <w:szCs w:val="18"/>
                      </w:rPr>
                      <w:t xml:space="preserve">: </w:t>
                    </w:r>
                    <w:hyperlink r:id="rId2" w:history="1">
                      <w:r w:rsidRPr="0039221C">
                        <w:rPr>
                          <w:rStyle w:val="Lienhypertexte"/>
                          <w:rFonts w:ascii="Titillium" w:hAnsi="Titillium"/>
                          <w:b/>
                          <w:i/>
                          <w:color w:val="A6A6A6" w:themeColor="background1" w:themeShade="A6"/>
                          <w:spacing w:val="20"/>
                          <w:sz w:val="16"/>
                          <w:szCs w:val="18"/>
                        </w:rPr>
                        <w:t>www.te47.fr</w:t>
                      </w:r>
                    </w:hyperlink>
                    <w:r w:rsidRPr="0039221C">
                      <w:rPr>
                        <w:rFonts w:ascii="Titillium" w:hAnsi="Titillium"/>
                        <w:b/>
                        <w:i/>
                        <w:color w:val="A6A6A6" w:themeColor="background1" w:themeShade="A6"/>
                        <w:spacing w:val="20"/>
                        <w:sz w:val="16"/>
                        <w:szCs w:val="18"/>
                      </w:rPr>
                      <w:t xml:space="preserve">, </w:t>
                    </w:r>
                    <w:r w:rsidRPr="0039221C">
                      <w:rPr>
                        <w:rFonts w:ascii="Titillium" w:hAnsi="Titillium"/>
                        <w:i/>
                        <w:color w:val="A6A6A6" w:themeColor="background1" w:themeShade="A6"/>
                        <w:spacing w:val="20"/>
                        <w:sz w:val="16"/>
                        <w:szCs w:val="18"/>
                      </w:rPr>
                      <w:t>dans votre espace collectivité.</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F5B9E"/>
    <w:multiLevelType w:val="hybridMultilevel"/>
    <w:tmpl w:val="9F4A6DC2"/>
    <w:lvl w:ilvl="0" w:tplc="6FDE060E">
      <w:numFmt w:val="bullet"/>
      <w:lvlText w:val="-"/>
      <w:lvlJc w:val="left"/>
      <w:pPr>
        <w:ind w:left="720" w:hanging="360"/>
      </w:pPr>
      <w:rPr>
        <w:rFonts w:ascii="Titillium" w:eastAsiaTheme="minorHAnsi" w:hAnsi="Titillium"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71B8766D"/>
    <w:multiLevelType w:val="hybridMultilevel"/>
    <w:tmpl w:val="1366B5C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392849851">
    <w:abstractNumId w:val="0"/>
  </w:num>
  <w:num w:numId="2" w16cid:durableId="20960046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C77"/>
    <w:rsid w:val="000159BD"/>
    <w:rsid w:val="00251009"/>
    <w:rsid w:val="00315DE0"/>
    <w:rsid w:val="00360E34"/>
    <w:rsid w:val="00372560"/>
    <w:rsid w:val="00380216"/>
    <w:rsid w:val="00461C77"/>
    <w:rsid w:val="004706CC"/>
    <w:rsid w:val="004C1F4E"/>
    <w:rsid w:val="007472DA"/>
    <w:rsid w:val="008B3F36"/>
    <w:rsid w:val="00942E2D"/>
    <w:rsid w:val="00AA1115"/>
    <w:rsid w:val="00B55E6C"/>
    <w:rsid w:val="00C26383"/>
    <w:rsid w:val="00E241FE"/>
    <w:rsid w:val="00F33B8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63A4A"/>
  <w15:docId w15:val="{5D10E483-B0A6-4C05-9F65-BAEC99978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1C77"/>
    <w:pPr>
      <w:spacing w:after="160" w:line="259"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61C77"/>
    <w:pPr>
      <w:spacing w:after="0" w:line="240" w:lineRule="auto"/>
      <w:ind w:left="708"/>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461C77"/>
    <w:pPr>
      <w:tabs>
        <w:tab w:val="center" w:pos="4536"/>
        <w:tab w:val="right" w:pos="9072"/>
      </w:tabs>
      <w:spacing w:after="0" w:line="240" w:lineRule="auto"/>
    </w:pPr>
  </w:style>
  <w:style w:type="character" w:customStyle="1" w:styleId="En-tteCar">
    <w:name w:val="En-tête Car"/>
    <w:basedOn w:val="Policepardfaut"/>
    <w:link w:val="En-tte"/>
    <w:uiPriority w:val="99"/>
    <w:rsid w:val="00461C77"/>
  </w:style>
  <w:style w:type="character" w:styleId="Lienhypertexte">
    <w:name w:val="Hyperlink"/>
    <w:basedOn w:val="Policepardfaut"/>
    <w:unhideWhenUsed/>
    <w:rsid w:val="00461C77"/>
    <w:rPr>
      <w:color w:val="0000FF" w:themeColor="hyperlink"/>
      <w:u w:val="single"/>
    </w:rPr>
  </w:style>
  <w:style w:type="character" w:styleId="Marquedecommentaire">
    <w:name w:val="annotation reference"/>
    <w:uiPriority w:val="99"/>
    <w:semiHidden/>
    <w:unhideWhenUsed/>
    <w:rsid w:val="00380216"/>
    <w:rPr>
      <w:sz w:val="16"/>
      <w:szCs w:val="16"/>
    </w:rPr>
  </w:style>
  <w:style w:type="paragraph" w:styleId="Commentaire">
    <w:name w:val="annotation text"/>
    <w:basedOn w:val="Normal"/>
    <w:link w:val="CommentaireCar"/>
    <w:uiPriority w:val="99"/>
    <w:unhideWhenUsed/>
    <w:rsid w:val="00380216"/>
    <w:pPr>
      <w:spacing w:after="0" w:line="240" w:lineRule="auto"/>
      <w:jc w:val="both"/>
    </w:pPr>
    <w:rPr>
      <w:rFonts w:ascii="Titillium" w:eastAsia="Calibri" w:hAnsi="Titillium" w:cs="Arial"/>
      <w:sz w:val="20"/>
      <w:szCs w:val="20"/>
      <w:lang w:eastAsia="fr-FR"/>
    </w:rPr>
  </w:style>
  <w:style w:type="character" w:customStyle="1" w:styleId="CommentaireCar">
    <w:name w:val="Commentaire Car"/>
    <w:basedOn w:val="Policepardfaut"/>
    <w:link w:val="Commentaire"/>
    <w:uiPriority w:val="99"/>
    <w:rsid w:val="00380216"/>
    <w:rPr>
      <w:rFonts w:ascii="Titillium" w:eastAsia="Calibri" w:hAnsi="Titillium" w:cs="Arial"/>
      <w:sz w:val="20"/>
      <w:szCs w:val="20"/>
      <w:lang w:eastAsia="fr-FR"/>
    </w:rPr>
  </w:style>
  <w:style w:type="paragraph" w:styleId="Objetducommentaire">
    <w:name w:val="annotation subject"/>
    <w:basedOn w:val="Commentaire"/>
    <w:next w:val="Commentaire"/>
    <w:link w:val="ObjetducommentaireCar"/>
    <w:uiPriority w:val="99"/>
    <w:semiHidden/>
    <w:unhideWhenUsed/>
    <w:rsid w:val="00380216"/>
    <w:pPr>
      <w:spacing w:after="160"/>
      <w:jc w:val="left"/>
    </w:pPr>
    <w:rPr>
      <w:rFonts w:asciiTheme="minorHAnsi" w:eastAsiaTheme="minorHAnsi" w:hAnsiTheme="minorHAnsi" w:cstheme="minorBidi"/>
      <w:b/>
      <w:bCs/>
      <w:lang w:eastAsia="en-US"/>
    </w:rPr>
  </w:style>
  <w:style w:type="character" w:customStyle="1" w:styleId="ObjetducommentaireCar">
    <w:name w:val="Objet du commentaire Car"/>
    <w:basedOn w:val="CommentaireCar"/>
    <w:link w:val="Objetducommentaire"/>
    <w:uiPriority w:val="99"/>
    <w:semiHidden/>
    <w:rsid w:val="00380216"/>
    <w:rPr>
      <w:rFonts w:ascii="Titillium" w:eastAsia="Calibri" w:hAnsi="Titillium" w:cs="Arial"/>
      <w:b/>
      <w:bCs/>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343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te47.fr" TargetMode="External"/><Relationship Id="rId1" Type="http://schemas.openxmlformats.org/officeDocument/2006/relationships/hyperlink" Target="http://www.te47.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838</Words>
  <Characters>4609</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5437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creator>
  <cp:lastModifiedBy>Nathalie Hayraud</cp:lastModifiedBy>
  <cp:revision>3</cp:revision>
  <dcterms:created xsi:type="dcterms:W3CDTF">2022-12-20T14:46:00Z</dcterms:created>
  <dcterms:modified xsi:type="dcterms:W3CDTF">2023-01-18T14:35:00Z</dcterms:modified>
</cp:coreProperties>
</file>