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527" w:rsidRDefault="00995527" w:rsidP="00995527">
      <w:pPr>
        <w:tabs>
          <w:tab w:val="center" w:pos="47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C348F" wp14:editId="63F908DF">
                <wp:simplePos x="0" y="0"/>
                <wp:positionH relativeFrom="column">
                  <wp:posOffset>1873512</wp:posOffset>
                </wp:positionH>
                <wp:positionV relativeFrom="paragraph">
                  <wp:posOffset>-76878</wp:posOffset>
                </wp:positionV>
                <wp:extent cx="2097741" cy="368834"/>
                <wp:effectExtent l="0" t="0" r="17145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741" cy="36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527" w:rsidRPr="002F06C0" w:rsidRDefault="00995527" w:rsidP="00995527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bCs/>
                                <w:sz w:val="24"/>
                                <w:szCs w:val="24"/>
                              </w:rPr>
                              <w:t>Proposition</w:t>
                            </w:r>
                            <w:r w:rsidRPr="002F06C0">
                              <w:rPr>
                                <w:rFonts w:ascii="Titillium" w:hAnsi="Titill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délibération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C348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7.5pt;margin-top:-6.05pt;width:165.2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" fillcolor="white [3201]" strokeweight=".5pt">
                <v:textbox>
                  <w:txbxContent>
                    <w:p w:rsidR="00995527" w:rsidRPr="002F06C0" w:rsidRDefault="00995527" w:rsidP="00995527">
                      <w:pPr>
                        <w:jc w:val="center"/>
                        <w:rPr>
                          <w:rFonts w:ascii="Titillium" w:hAnsi="Titill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tillium" w:hAnsi="Titillium"/>
                          <w:b/>
                          <w:bCs/>
                          <w:sz w:val="24"/>
                          <w:szCs w:val="24"/>
                        </w:rPr>
                        <w:t>Proposition</w:t>
                      </w:r>
                      <w:r w:rsidRPr="002F06C0">
                        <w:rPr>
                          <w:rFonts w:ascii="Titillium" w:hAnsi="Titillium"/>
                          <w:b/>
                          <w:bCs/>
                          <w:sz w:val="24"/>
                          <w:szCs w:val="24"/>
                        </w:rPr>
                        <w:t xml:space="preserve"> de délibération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D63252" wp14:editId="2B554F6E">
            <wp:simplePos x="0" y="0"/>
            <wp:positionH relativeFrom="page">
              <wp:posOffset>253045</wp:posOffset>
            </wp:positionH>
            <wp:positionV relativeFrom="paragraph">
              <wp:posOffset>-552856</wp:posOffset>
            </wp:positionV>
            <wp:extent cx="1798064" cy="799139"/>
            <wp:effectExtent l="0" t="0" r="0" b="12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TE 4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5" t="19617" r="5255" b="40362"/>
                    <a:stretch/>
                  </pic:blipFill>
                  <pic:spPr bwMode="auto">
                    <a:xfrm>
                      <a:off x="0" y="0"/>
                      <a:ext cx="1798064" cy="79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²</w:t>
      </w:r>
    </w:p>
    <w:p w:rsidR="00995527" w:rsidRPr="0061451C" w:rsidRDefault="00995527" w:rsidP="00995527">
      <w:pPr>
        <w:spacing w:before="120" w:after="120"/>
        <w:rPr>
          <w:rFonts w:ascii="Arial" w:hAnsi="Arial" w:cs="Arial"/>
          <w:b/>
          <w:bCs/>
          <w:spacing w:val="40"/>
        </w:rPr>
      </w:pPr>
    </w:p>
    <w:p w:rsidR="00995527" w:rsidRDefault="00995527" w:rsidP="009955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Avenant n°1 </w:t>
      </w:r>
      <w:r w:rsidRPr="002F06C0">
        <w:rPr>
          <w:rFonts w:ascii="Arial" w:hAnsi="Arial" w:cs="Arial"/>
          <w:b/>
          <w:bCs/>
        </w:rPr>
        <w:t xml:space="preserve">à </w:t>
      </w:r>
      <w:r>
        <w:rPr>
          <w:rFonts w:ascii="Arial" w:hAnsi="Arial" w:cs="Arial"/>
          <w:b/>
          <w:bCs/>
        </w:rPr>
        <w:t>la c</w:t>
      </w:r>
      <w:r w:rsidRPr="006B7DB9">
        <w:rPr>
          <w:rFonts w:ascii="Arial" w:hAnsi="Arial" w:cs="Arial"/>
          <w:b/>
          <w:bCs/>
        </w:rPr>
        <w:t>onvention d’accompagnement</w:t>
      </w:r>
      <w:r>
        <w:rPr>
          <w:rFonts w:ascii="Arial" w:hAnsi="Arial" w:cs="Arial"/>
          <w:b/>
          <w:bCs/>
        </w:rPr>
        <w:t xml:space="preserve"> </w:t>
      </w:r>
      <w:r w:rsidRPr="006B7DB9">
        <w:rPr>
          <w:rFonts w:ascii="Arial" w:hAnsi="Arial" w:cs="Arial"/>
          <w:b/>
          <w:bCs/>
        </w:rPr>
        <w:t>à la transition énergétique</w:t>
      </w:r>
      <w:r>
        <w:rPr>
          <w:rFonts w:ascii="Arial" w:hAnsi="Arial" w:cs="Arial"/>
          <w:b/>
          <w:bCs/>
        </w:rPr>
        <w:t xml:space="preserve"> avec</w:t>
      </w:r>
      <w:r w:rsidRPr="006B7DB9">
        <w:rPr>
          <w:rFonts w:ascii="Arial" w:hAnsi="Arial" w:cs="Arial"/>
          <w:b/>
          <w:bCs/>
        </w:rPr>
        <w:t xml:space="preserve"> Territoire d’Energie Lot-et-Garonne</w:t>
      </w:r>
      <w:r w:rsidRPr="006B7DB9" w:rsidDel="006B7DB9">
        <w:rPr>
          <w:rFonts w:ascii="Arial" w:hAnsi="Arial" w:cs="Arial"/>
          <w:b/>
          <w:bCs/>
        </w:rPr>
        <w:t xml:space="preserve"> </w:t>
      </w:r>
      <w:r w:rsidRPr="002F06C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TE 47</w:t>
      </w:r>
      <w:r w:rsidRPr="002F06C0">
        <w:rPr>
          <w:rFonts w:ascii="Arial" w:hAnsi="Arial" w:cs="Arial"/>
          <w:b/>
          <w:bCs/>
        </w:rPr>
        <w:t>)</w:t>
      </w:r>
    </w:p>
    <w:p w:rsidR="00995527" w:rsidRPr="002F06C0" w:rsidRDefault="00995527" w:rsidP="00995527">
      <w:pPr>
        <w:rPr>
          <w:rFonts w:ascii="Arial" w:hAnsi="Arial" w:cs="Arial"/>
        </w:rPr>
      </w:pP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Depuis fin 2021, TE 47 accompagne ses communes membres à la transition énergétique en leur proposant des prestations pouvant porter sur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 xml:space="preserve">: </w:t>
      </w:r>
    </w:p>
    <w:p w:rsidR="00995527" w:rsidRDefault="00995527" w:rsidP="00995527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Le conseil et l’accompagnement par un «</w:t>
      </w:r>
      <w:r>
        <w:rPr>
          <w:rFonts w:ascii="Calibri" w:eastAsia="Arial" w:hAnsi="Calibri" w:cs="Calibri"/>
          <w:sz w:val="20"/>
          <w:szCs w:val="20"/>
        </w:rPr>
        <w:t> </w:t>
      </w:r>
      <w:r>
        <w:rPr>
          <w:rFonts w:ascii="Titillium" w:hAnsi="Titillium" w:cs="Arial"/>
          <w:bCs/>
          <w:sz w:val="20"/>
          <w:szCs w:val="20"/>
        </w:rPr>
        <w:t>É</w:t>
      </w:r>
      <w:r>
        <w:rPr>
          <w:rFonts w:ascii="Titillium" w:eastAsia="Arial" w:hAnsi="Titillium"/>
          <w:sz w:val="20"/>
          <w:szCs w:val="20"/>
        </w:rPr>
        <w:t>conome de flux</w:t>
      </w:r>
      <w:r>
        <w:rPr>
          <w:rFonts w:ascii="Calibri" w:eastAsia="Arial" w:hAnsi="Calibri" w:cs="Calibri"/>
          <w:sz w:val="20"/>
          <w:szCs w:val="20"/>
        </w:rPr>
        <w:t> </w:t>
      </w:r>
      <w:r>
        <w:rPr>
          <w:rFonts w:ascii="Titillium" w:eastAsia="Arial" w:hAnsi="Titillium" w:cs="Titillium"/>
          <w:sz w:val="20"/>
          <w:szCs w:val="20"/>
        </w:rPr>
        <w:t>»</w:t>
      </w:r>
      <w:r>
        <w:rPr>
          <w:rFonts w:ascii="Titillium" w:eastAsia="Arial" w:hAnsi="Titillium"/>
          <w:sz w:val="20"/>
          <w:szCs w:val="20"/>
        </w:rPr>
        <w:t>,</w:t>
      </w:r>
    </w:p>
    <w:p w:rsidR="00995527" w:rsidRDefault="00995527" w:rsidP="00995527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Les audits énergétiques du patrimoine bâti,</w:t>
      </w:r>
    </w:p>
    <w:p w:rsidR="00995527" w:rsidRDefault="00995527" w:rsidP="00995527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L’accompagnement spécifique au décret tertiaire,</w:t>
      </w:r>
    </w:p>
    <w:p w:rsidR="00995527" w:rsidRDefault="00995527" w:rsidP="00995527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L’accompagnement au développement des ENR thermiques ou électriques,</w:t>
      </w:r>
    </w:p>
    <w:p w:rsidR="00995527" w:rsidRDefault="00995527" w:rsidP="00995527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L’accompagnement au suivi de la qualité de l’air intérieur,</w:t>
      </w:r>
    </w:p>
    <w:p w:rsidR="00995527" w:rsidRDefault="00995527" w:rsidP="00995527">
      <w:pPr>
        <w:pStyle w:val="Paragraphedeliste"/>
        <w:numPr>
          <w:ilvl w:val="0"/>
          <w:numId w:val="1"/>
        </w:numPr>
        <w:tabs>
          <w:tab w:val="left" w:pos="720"/>
          <w:tab w:val="right" w:pos="9067"/>
        </w:tabs>
        <w:ind w:right="-1"/>
        <w:rPr>
          <w:rFonts w:ascii="Titillium" w:eastAsia="Arial" w:hAnsi="Titillium"/>
          <w:sz w:val="20"/>
          <w:szCs w:val="20"/>
        </w:rPr>
      </w:pPr>
      <w:r>
        <w:rPr>
          <w:rFonts w:ascii="Titillium" w:eastAsia="Arial" w:hAnsi="Titillium"/>
          <w:sz w:val="20"/>
          <w:szCs w:val="20"/>
        </w:rPr>
        <w:t>Des prestations de traitement d’imagerie thermique par caméra et par drone.</w:t>
      </w:r>
    </w:p>
    <w:p w:rsidR="00995527" w:rsidRDefault="00995527" w:rsidP="00995527">
      <w:pPr>
        <w:rPr>
          <w:rFonts w:ascii="Titillium" w:hAnsi="Titillium" w:cs="Arial"/>
          <w:bCs/>
          <w:sz w:val="20"/>
          <w:szCs w:val="20"/>
        </w:rPr>
      </w:pP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TE 47 et la Commune ont ainsi signé une convention d’accompagnement à la Transition Energétique comprenant des annexes décrivant en détail les prestations ainsi que les modalités financières applicables.</w:t>
      </w: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Le Service de Gestion Comptable d’Agen a signifié à TE 47 que l’ensemble des prestations facturées dans le cadre de ces conventions devaient être soumises à la TVA, quel que soit son exécutant (prestation interne de TE 47, comme prestation réalisée par un prestataire externe), ce qui nécessite d’ajuster par avenant chaque convention.</w:t>
      </w: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Cela représente une plus-value pour la Commune de 20 % sur le coût des prestations réalisées par TE 47 en interne.</w:t>
      </w: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Si la Commune refuse cette modification, la convention devra être résiliée.</w:t>
      </w: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 w:rsidRPr="00A33CC1">
        <w:rPr>
          <w:rFonts w:ascii="Titillium" w:eastAsia="Times New Roman" w:hAnsi="Titillium" w:cs="Times New Roman"/>
          <w:sz w:val="20"/>
          <w:szCs w:val="20"/>
          <w:lang w:eastAsia="fr-FR"/>
        </w:rPr>
        <w:t>Monsieur/Madame le Maire rappelle que l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>a Commune est libre de choisir dans le panel de prestations proposées celles dont elle a besoin.</w:t>
      </w: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L’article 8 de la Convention (Conditions Financières) est remplacé par les termes suivants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>
        <w:rPr>
          <w:rFonts w:ascii="Titillium" w:eastAsia="Times New Roman" w:hAnsi="Titillium" w:cs="Times New Roman"/>
          <w:sz w:val="20"/>
          <w:szCs w:val="20"/>
          <w:lang w:eastAsia="fr-FR"/>
        </w:rPr>
        <w:t>:</w:t>
      </w:r>
    </w:p>
    <w:p w:rsidR="00995527" w:rsidRDefault="00995527" w:rsidP="00995527">
      <w:pPr>
        <w:rPr>
          <w:rFonts w:ascii="Titillium" w:hAnsi="Titillium" w:cs="Arial"/>
          <w:i/>
          <w:iCs/>
          <w:sz w:val="20"/>
          <w:szCs w:val="20"/>
        </w:rPr>
      </w:pPr>
      <w:r>
        <w:rPr>
          <w:rFonts w:ascii="Titillium" w:hAnsi="Titillium" w:cs="Arial"/>
          <w:i/>
          <w:iCs/>
          <w:sz w:val="20"/>
          <w:szCs w:val="20"/>
        </w:rPr>
        <w:t>«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Les conditions financières sont détaillées en Annexe 2 de la convention («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Conditions Financières au 19 décembre 2022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»).</w:t>
      </w:r>
    </w:p>
    <w:p w:rsidR="00995527" w:rsidRDefault="00995527" w:rsidP="00995527">
      <w:pPr>
        <w:rPr>
          <w:rFonts w:ascii="Titillium" w:hAnsi="Titillium" w:cs="Arial"/>
          <w:i/>
          <w:iCs/>
          <w:sz w:val="20"/>
          <w:szCs w:val="20"/>
        </w:rPr>
      </w:pPr>
      <w:r>
        <w:rPr>
          <w:rFonts w:ascii="Titillium" w:hAnsi="Titillium" w:cs="Arial"/>
          <w:i/>
          <w:iCs/>
          <w:sz w:val="20"/>
          <w:szCs w:val="20"/>
        </w:rPr>
        <w:t>Elles décrivent les conditions financières aussi bien pour les actions réalisées en interne par TE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47 que pour les actions réalisées par des acteurs externes en application des marchés publics conclus par TE</w:t>
      </w:r>
      <w:r>
        <w:rPr>
          <w:rFonts w:ascii="Calibri" w:hAnsi="Calibri" w:cs="Calibri"/>
          <w:i/>
          <w:iCs/>
          <w:sz w:val="20"/>
          <w:szCs w:val="20"/>
        </w:rPr>
        <w:t> </w:t>
      </w:r>
      <w:r>
        <w:rPr>
          <w:rFonts w:ascii="Titillium" w:hAnsi="Titillium" w:cs="Arial"/>
          <w:i/>
          <w:iCs/>
          <w:sz w:val="20"/>
          <w:szCs w:val="20"/>
        </w:rPr>
        <w:t>47.</w:t>
      </w:r>
    </w:p>
    <w:p w:rsidR="00995527" w:rsidRDefault="00995527" w:rsidP="00995527">
      <w:pPr>
        <w:rPr>
          <w:rFonts w:ascii="Titillium" w:eastAsia="Arial" w:hAnsi="Titillium"/>
          <w:i/>
          <w:iCs/>
          <w:sz w:val="20"/>
          <w:szCs w:val="20"/>
        </w:rPr>
      </w:pPr>
      <w:bookmarkStart w:id="0" w:name="_Hlk121911684"/>
      <w:r>
        <w:rPr>
          <w:rFonts w:ascii="Titillium" w:eastAsia="Arial" w:hAnsi="Titillium"/>
          <w:i/>
          <w:iCs/>
          <w:sz w:val="20"/>
          <w:szCs w:val="20"/>
        </w:rPr>
        <w:t>Pour les actions réalisées par des acteurs externes, TE</w:t>
      </w:r>
      <w:r>
        <w:rPr>
          <w:rFonts w:ascii="Calibri" w:eastAsia="Arial" w:hAnsi="Calibri" w:cs="Calibri"/>
          <w:i/>
          <w:iCs/>
          <w:sz w:val="20"/>
          <w:szCs w:val="20"/>
        </w:rPr>
        <w:t> </w:t>
      </w:r>
      <w:r>
        <w:rPr>
          <w:rFonts w:ascii="Titillium" w:eastAsia="Arial" w:hAnsi="Titillium"/>
          <w:i/>
          <w:iCs/>
          <w:sz w:val="20"/>
          <w:szCs w:val="20"/>
        </w:rPr>
        <w:t xml:space="preserve">47 percevra des frais de gestion pour couvrir les frais de suivi technique, administratif et financier des opérations. Ces frais de gestion s’élèveront à 4 % du coût </w:t>
      </w:r>
      <w:r>
        <w:rPr>
          <w:rFonts w:ascii="Titillium" w:eastAsia="Arial" w:hAnsi="Titillium"/>
          <w:b/>
          <w:bCs/>
          <w:i/>
          <w:iCs/>
          <w:sz w:val="20"/>
          <w:szCs w:val="20"/>
        </w:rPr>
        <w:t>HT</w:t>
      </w:r>
      <w:r>
        <w:rPr>
          <w:rFonts w:ascii="Titillium" w:eastAsia="Arial" w:hAnsi="Titillium"/>
          <w:i/>
          <w:iCs/>
          <w:sz w:val="20"/>
          <w:szCs w:val="20"/>
        </w:rPr>
        <w:t xml:space="preserve"> des dépenses engagées.</w:t>
      </w:r>
    </w:p>
    <w:p w:rsidR="00995527" w:rsidRDefault="00995527" w:rsidP="00995527">
      <w:pPr>
        <w:rPr>
          <w:rFonts w:ascii="Titillium" w:hAnsi="Titillium" w:cs="Arial"/>
          <w:i/>
          <w:iCs/>
          <w:sz w:val="20"/>
          <w:szCs w:val="20"/>
        </w:rPr>
      </w:pPr>
      <w:r>
        <w:rPr>
          <w:rFonts w:ascii="Titillium" w:eastAsia="Arial" w:hAnsi="Titillium"/>
          <w:i/>
          <w:iCs/>
          <w:sz w:val="20"/>
          <w:szCs w:val="20"/>
        </w:rPr>
        <w:t>L’ensemble des coûts des prestations réalisées dans le cadre de la Convention sera assujetti à l’application du taux de TVA en vigueur.</w:t>
      </w:r>
      <w:r>
        <w:rPr>
          <w:rFonts w:ascii="Calibri" w:eastAsia="Arial" w:hAnsi="Calibri" w:cs="Calibri"/>
          <w:i/>
          <w:iCs/>
          <w:sz w:val="20"/>
          <w:szCs w:val="20"/>
        </w:rPr>
        <w:t> </w:t>
      </w:r>
      <w:r>
        <w:rPr>
          <w:rFonts w:ascii="Titillium" w:eastAsia="Arial" w:hAnsi="Titillium" w:cs="Titillium"/>
          <w:i/>
          <w:iCs/>
          <w:sz w:val="20"/>
          <w:szCs w:val="20"/>
        </w:rPr>
        <w:t>»</w:t>
      </w:r>
    </w:p>
    <w:bookmarkEnd w:id="0"/>
    <w:p w:rsidR="00995527" w:rsidRDefault="00995527" w:rsidP="00995527">
      <w:pPr>
        <w:rPr>
          <w:rFonts w:ascii="Titillium" w:hAnsi="Titillium" w:cs="Arial"/>
        </w:rPr>
      </w:pPr>
    </w:p>
    <w:p w:rsidR="00995527" w:rsidRDefault="00995527" w:rsidP="00995527">
      <w:pPr>
        <w:ind w:firstLine="708"/>
        <w:rPr>
          <w:rFonts w:ascii="Titillium" w:eastAsia="Times New Roman" w:hAnsi="Titillium" w:cs="Times New Roman"/>
          <w:sz w:val="20"/>
          <w:szCs w:val="20"/>
          <w:lang w:eastAsia="fr-FR"/>
        </w:rPr>
      </w:pPr>
      <w:r>
        <w:rPr>
          <w:rFonts w:ascii="Titillium" w:eastAsia="Times New Roman" w:hAnsi="Titillium" w:cs="Times New Roman"/>
          <w:sz w:val="20"/>
          <w:szCs w:val="20"/>
          <w:lang w:eastAsia="fr-FR"/>
        </w:rPr>
        <w:t>L’annexe 2 est également modifiée pour préciser que les coûts unitaires proposés sont HT et que tous ces coûts sont soumis à la TVA au taux en vigueur.</w:t>
      </w:r>
    </w:p>
    <w:p w:rsidR="00995527" w:rsidRDefault="00995527" w:rsidP="00995527">
      <w:pPr>
        <w:ind w:firstLine="708"/>
        <w:rPr>
          <w:rFonts w:ascii="Titillium" w:eastAsia="Times New Roman" w:hAnsi="Titillium" w:cs="Times New Roman"/>
        </w:rPr>
      </w:pPr>
    </w:p>
    <w:p w:rsidR="00995527" w:rsidRDefault="00995527" w:rsidP="00995527">
      <w:pPr>
        <w:rPr>
          <w:rFonts w:ascii="Titillium" w:eastAsia="Calibri" w:hAnsi="Titillium" w:cs="Calibri"/>
          <w:b/>
          <w:bCs/>
        </w:rPr>
      </w:pPr>
      <w:r>
        <w:rPr>
          <w:rFonts w:ascii="Titillium" w:eastAsia="Calibri" w:hAnsi="Titillium" w:cs="Calibri"/>
          <w:b/>
          <w:bCs/>
        </w:rPr>
        <w:t>Il est proposé au Conseil Municipal</w:t>
      </w:r>
      <w:r>
        <w:rPr>
          <w:rFonts w:ascii="Courier New" w:eastAsia="Calibri" w:hAnsi="Courier New" w:cs="Courier New"/>
          <w:b/>
          <w:bCs/>
        </w:rPr>
        <w:t> </w:t>
      </w:r>
      <w:r>
        <w:rPr>
          <w:rFonts w:ascii="Titillium" w:eastAsia="Calibri" w:hAnsi="Titillium" w:cs="Calibri"/>
          <w:b/>
          <w:bCs/>
        </w:rPr>
        <w:t xml:space="preserve">: </w:t>
      </w:r>
    </w:p>
    <w:p w:rsidR="00995527" w:rsidRPr="00757BED" w:rsidRDefault="00995527" w:rsidP="00995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129"/>
        <w:contextualSpacing/>
        <w:textAlignment w:val="baseline"/>
        <w:rPr>
          <w:rFonts w:ascii="Titillium" w:eastAsia="Calibri" w:hAnsi="Titillium" w:cs="Calibri"/>
          <w:b/>
          <w:bCs/>
        </w:rPr>
      </w:pPr>
      <w:r w:rsidRPr="00757BED">
        <w:rPr>
          <w:rFonts w:ascii="Titillium" w:eastAsia="Calibri" w:hAnsi="Titillium" w:cs="Calibri"/>
          <w:b/>
          <w:bCs/>
        </w:rPr>
        <w:t xml:space="preserve">d’approuver la modification de la convention entre la commune et TE 47, portant sur un accompagnement à la transition énergétique et l’avenant n°1 correspondant </w:t>
      </w:r>
      <w:r w:rsidRPr="00757BED">
        <w:rPr>
          <w:rFonts w:ascii="Calibri" w:eastAsia="Calibri" w:hAnsi="Calibri" w:cs="Calibri"/>
          <w:b/>
          <w:bCs/>
        </w:rPr>
        <w:t>;</w:t>
      </w:r>
    </w:p>
    <w:p w:rsidR="00995527" w:rsidRDefault="00995527" w:rsidP="00995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129"/>
        <w:contextualSpacing/>
        <w:textAlignment w:val="baseline"/>
      </w:pPr>
      <w:r>
        <w:rPr>
          <w:rFonts w:ascii="Titillium" w:eastAsia="Calibri" w:hAnsi="Titillium" w:cs="Calibri"/>
          <w:b/>
          <w:bCs/>
        </w:rPr>
        <w:t xml:space="preserve">de </w:t>
      </w:r>
      <w:r w:rsidRPr="00AB5AE9">
        <w:rPr>
          <w:rFonts w:ascii="Titillium" w:eastAsia="Calibri" w:hAnsi="Titillium" w:cs="Calibri"/>
          <w:b/>
          <w:bCs/>
        </w:rPr>
        <w:t>donne</w:t>
      </w:r>
      <w:r>
        <w:rPr>
          <w:rFonts w:ascii="Titillium" w:eastAsia="Calibri" w:hAnsi="Titillium" w:cs="Calibri"/>
          <w:b/>
          <w:bCs/>
        </w:rPr>
        <w:t>r</w:t>
      </w:r>
      <w:r w:rsidRPr="00AB5AE9">
        <w:rPr>
          <w:rFonts w:ascii="Titillium" w:eastAsia="Calibri" w:hAnsi="Titillium" w:cs="Calibri"/>
          <w:b/>
          <w:bCs/>
        </w:rPr>
        <w:t xml:space="preserve"> mandat à Monsieur/Madame le Maire pour signer cet avenant ainsi que tous les documents liés à cette affaire.</w:t>
      </w:r>
    </w:p>
    <w:p w:rsidR="00BC7374" w:rsidRDefault="00BC7374"/>
    <w:sectPr w:rsidR="00BC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3AE1"/>
    <w:multiLevelType w:val="hybridMultilevel"/>
    <w:tmpl w:val="E4008278"/>
    <w:lvl w:ilvl="0" w:tplc="5AAC09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3366"/>
        <w:sz w:val="20"/>
        <w:szCs w:val="20"/>
      </w:rPr>
    </w:lvl>
    <w:lvl w:ilvl="1" w:tplc="6D5830FA">
      <w:numFmt w:val="bullet"/>
      <w:lvlText w:val="•"/>
      <w:lvlJc w:val="left"/>
      <w:pPr>
        <w:ind w:left="1644" w:hanging="564"/>
      </w:pPr>
      <w:rPr>
        <w:rFonts w:ascii="Titillium" w:eastAsia="Times New Roman" w:hAnsi="Titillium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766D"/>
    <w:multiLevelType w:val="hybridMultilevel"/>
    <w:tmpl w:val="136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1416">
    <w:abstractNumId w:val="1"/>
  </w:num>
  <w:num w:numId="2" w16cid:durableId="19469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27"/>
    <w:rsid w:val="00995527"/>
    <w:rsid w:val="00B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F02D-340E-459B-B50F-9A4934A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2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Paragraphe Car,fleche verte Car,lp1 Car,Paragraphe de liste 2 Car,Puce focus Car,Contact Car,Cegelec - liste Car,Puces 1 Car,ONX_Paragraphe de liste Car,6 pt paragraphe carré Car,List Paragraph Car,texte de base Car,Titree 2 Car"/>
    <w:link w:val="Paragraphedeliste"/>
    <w:uiPriority w:val="34"/>
    <w:locked/>
    <w:rsid w:val="009955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Paragraphe,fleche verte,lp1,Paragraphe de liste 2,Puce focus,Contact,Cegelec - liste,Puces 1,ONX_Paragraphe de liste,6 pt paragraphe carré,List Paragraph,texte de base,calia titre 3,Normal bullet 2,List Paragraph1,Titree 2"/>
    <w:basedOn w:val="Normal"/>
    <w:link w:val="ParagraphedelisteCar"/>
    <w:uiPriority w:val="34"/>
    <w:qFormat/>
    <w:rsid w:val="0099552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LAMY</dc:creator>
  <cp:keywords/>
  <dc:description/>
  <cp:lastModifiedBy>Laurence LAMY</cp:lastModifiedBy>
  <cp:revision>1</cp:revision>
  <dcterms:created xsi:type="dcterms:W3CDTF">2022-12-21T14:21:00Z</dcterms:created>
  <dcterms:modified xsi:type="dcterms:W3CDTF">2022-12-21T14:21:00Z</dcterms:modified>
</cp:coreProperties>
</file>